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85041"/>
          <w:sz w:val="52"/>
          <w:szCs w:val="52"/>
        </w:rPr>
        <w:t xml:space="preserve">BioLink v2</w:t>
      </w:r>
    </w:p>
    <w:p>
      <w:pPr>
        <w:spacing w:after="80" w:before="0"/>
      </w:pPr>
      <w:r>
        <w:rPr>
          <w:rFonts w:ascii="Arial" w:cs="Arial" w:eastAsia="Arial" w:hAnsi="Arial"/>
          <w:color w:val="0F6E56"/>
          <w:sz w:val="30"/>
          <w:szCs w:val="30"/>
        </w:rPr>
        <w:t xml:space="preserve">A Reliability-Aware Drug Repurposing Application</w:t>
      </w:r>
    </w:p>
    <w:p>
      <w:pPr>
        <w:spacing w:after="240" w:before="0"/>
      </w:pPr>
      <w:r>
        <w:rPr>
          <w:rFonts w:ascii="Arial" w:cs="Arial" w:eastAsia="Arial" w:hAnsi="Arial"/>
          <w:color w:val="888888"/>
          <w:sz w:val="22"/>
          <w:szCs w:val="22"/>
        </w:rPr>
        <w:t xml:space="preserve">AAI 595: Applied Machine Learning  |  Dr. Tao 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Team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Dustin Haggett, Kera Prosper, Mia Braun</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Course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AAI 595: Applied Machine Learning</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Instructor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Tao Han</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Prior 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BioLink v1 — dustinhaggett.com/projects/biolink</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Live demo</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huggingface.co/spaces/dustinhaggett/biolink-demo</w:t>
            </w:r>
          </w:p>
        </w:tc>
      </w:tr>
    </w:tbl>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1.  Motivation and Problem Statement</w:t>
      </w:r>
    </w:p>
    <w:p>
      <w:pPr>
        <w:spacing w:after="80" w:before="80"/>
      </w:pPr>
      <w:r>
        <w:rPr>
          <w:rFonts w:ascii="Arial" w:cs="Arial" w:eastAsia="Arial" w:hAnsi="Arial"/>
          <w:sz w:val="22"/>
          <w:szCs w:val="22"/>
        </w:rPr>
        <w:t xml:space="preserve">Millions of patients suffer from conditions with limited treatment options. At the same time, many approved drugs have untapped therapeutic potential beyond their primary indications — potential that is extremely difficult to discover through traditional literature review alone.</w:t>
      </w:r>
    </w:p>
    <w:p>
      <w:pPr>
        <w:spacing w:after="0" w:before="80"/>
      </w:pPr>
      <w:r>
        <w:t xml:space="preserve"/>
      </w:r>
    </w:p>
    <w:p>
      <w:pPr>
        <w:spacing w:after="80" w:before="80"/>
      </w:pPr>
      <w:r>
        <w:rPr>
          <w:rFonts w:ascii="Arial" w:cs="Arial" w:eastAsia="Arial" w:hAnsi="Arial"/>
          <w:sz w:val="22"/>
          <w:szCs w:val="22"/>
        </w:rPr>
        <w:t xml:space="preserve">Artificial intelligence is increasingly used to support drug repurposing by prioritizing promising drug–disease relationships from large biomedical datasets. While many machine learning models demonstrate strong predictive performance, they often fail to communicate how reliable their predictions are, and they present results in ways that are accessible only to researchers — not to the patients and clinicians who stand to benefit most.</w:t>
      </w:r>
    </w:p>
    <w:p>
      <w:pPr>
        <w:spacing w:after="0" w:before="80"/>
      </w:pPr>
      <w:r>
        <w:t xml:space="preserve"/>
      </w:r>
    </w:p>
    <w:p>
      <w:pPr>
        <w:spacing w:after="80" w:before="80"/>
      </w:pPr>
      <w:r>
        <w:rPr>
          <w:rFonts w:ascii="Arial" w:cs="Arial" w:eastAsia="Arial" w:hAnsi="Arial"/>
          <w:sz w:val="22"/>
          <w:szCs w:val="22"/>
        </w:rPr>
        <w:t xml:space="preserve">BioLink v2 addresses both gaps. Building on a validated v1 model (AUC = 0.947 on CTD), this project delivers a consumer-facing application with three core advances:</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Natural language disease input, so anyone can describe a condition in plain English</w:t>
      </w:r>
    </w:p>
    <w:p>
      <w:pPr>
        <w:pStyle w:val="ListParagraph"/>
        <w:numPr>
          <w:ilvl w:val="0"/>
          <w:numId w:val="2"/>
        </w:numPr>
        <w:spacing w:after="60" w:before="60"/>
      </w:pPr>
      <w:r>
        <w:rPr>
          <w:rFonts w:ascii="Arial" w:cs="Arial" w:eastAsia="Arial" w:hAnsi="Arial"/>
          <w:b w:val="false"/>
          <w:bCs w:val="false"/>
          <w:sz w:val="22"/>
          <w:szCs w:val="22"/>
        </w:rPr>
        <w:t xml:space="preserve">Calibrated confidence scoring, so predictions are honest about their reliability</w:t>
      </w:r>
    </w:p>
    <w:p>
      <w:pPr>
        <w:pStyle w:val="ListParagraph"/>
        <w:numPr>
          <w:ilvl w:val="0"/>
          <w:numId w:val="2"/>
        </w:numPr>
        <w:spacing w:after="60" w:before="60"/>
      </w:pPr>
      <w:r>
        <w:rPr>
          <w:rFonts w:ascii="Arial" w:cs="Arial" w:eastAsia="Arial" w:hAnsi="Arial"/>
          <w:b w:val="false"/>
          <w:bCs w:val="false"/>
          <w:sz w:val="22"/>
          <w:szCs w:val="22"/>
        </w:rPr>
        <w:t xml:space="preserve">LLM-powered plain-English explanations, so results are interpretable by patients and clinicians — not just researchers</w:t>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2.  Background and Prior Work</w:t>
      </w:r>
    </w:p>
    <w:p>
      <w:pPr>
        <w:pStyle w:val="Heading2"/>
        <w:spacing w:after="120" w:before="240"/>
      </w:pPr>
      <w:r>
        <w:rPr>
          <w:rFonts w:ascii="Arial" w:cs="Arial" w:eastAsia="Arial" w:hAnsi="Arial"/>
          <w:b/>
          <w:bCs/>
          <w:sz w:val="26"/>
          <w:szCs w:val="26"/>
        </w:rPr>
        <w:t xml:space="preserve">2.1  BioLink v1 (Existing System)</w:t>
      </w:r>
    </w:p>
    <w:p>
      <w:pPr>
        <w:spacing w:after="80" w:before="80"/>
      </w:pPr>
      <w:r>
        <w:rPr>
          <w:rFonts w:ascii="Arial" w:cs="Arial" w:eastAsia="Arial" w:hAnsi="Arial"/>
          <w:sz w:val="22"/>
          <w:szCs w:val="22"/>
        </w:rPr>
        <w:t xml:space="preserve">Dustin Haggett developed BioLink v1 as prior independent work — a complete machine learning pipeline for predicting therapeutic drug–disease relationships using the Comparative Toxicogenomics Database (CTD). Key details:</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Dataset: 39,265 curated positive therapeutic pairs extracted from 9.7M+ CTD records; balanced with random negative sampling to 78,530 labeled examples</w:t>
      </w:r>
    </w:p>
    <w:p>
      <w:pPr>
        <w:pStyle w:val="ListParagraph"/>
        <w:numPr>
          <w:ilvl w:val="0"/>
          <w:numId w:val="2"/>
        </w:numPr>
        <w:spacing w:after="60" w:before="60"/>
      </w:pPr>
      <w:r>
        <w:rPr>
          <w:rFonts w:ascii="Arial" w:cs="Arial" w:eastAsia="Arial" w:hAnsi="Arial"/>
          <w:b w:val="false"/>
          <w:bCs w:val="false"/>
          <w:sz w:val="22"/>
          <w:szCs w:val="22"/>
        </w:rPr>
        <w:t xml:space="preserve">Embeddings: BioWordVec (200-dim, trained on PubMed + MIMIC-III + MeSH) and MiniLM-L6-v2 (384-dim general transformer), compared under identical classifier architecture</w:t>
      </w:r>
    </w:p>
    <w:p>
      <w:pPr>
        <w:pStyle w:val="ListParagraph"/>
        <w:numPr>
          <w:ilvl w:val="0"/>
          <w:numId w:val="2"/>
        </w:numPr>
        <w:spacing w:after="60" w:before="60"/>
      </w:pPr>
      <w:r>
        <w:rPr>
          <w:rFonts w:ascii="Arial" w:cs="Arial" w:eastAsia="Arial" w:hAnsi="Arial"/>
          <w:b w:val="false"/>
          <w:bCs w:val="false"/>
          <w:sz w:val="22"/>
          <w:szCs w:val="22"/>
        </w:rPr>
        <w:t xml:space="preserve">Architecture: Two-layer MLP with feature construction — concatenation + elementwise difference + elementwise product of drug/disease embedding pairs (800-dim input)</w:t>
      </w:r>
    </w:p>
    <w:p>
      <w:pPr>
        <w:pStyle w:val="ListParagraph"/>
        <w:numPr>
          <w:ilvl w:val="0"/>
          <w:numId w:val="2"/>
        </w:numPr>
        <w:spacing w:after="60" w:before="60"/>
      </w:pPr>
      <w:r>
        <w:rPr>
          <w:rFonts w:ascii="Arial" w:cs="Arial" w:eastAsia="Arial" w:hAnsi="Arial"/>
          <w:b w:val="false"/>
          <w:bCs w:val="false"/>
          <w:sz w:val="22"/>
          <w:szCs w:val="22"/>
        </w:rPr>
        <w:t xml:space="preserve">Results: BioWordVec model achieved AUC = 0.947, AP = 0.949 on held-out test set</w:t>
      </w:r>
    </w:p>
    <w:p>
      <w:pPr>
        <w:pStyle w:val="ListParagraph"/>
        <w:numPr>
          <w:ilvl w:val="0"/>
          <w:numId w:val="2"/>
        </w:numPr>
        <w:spacing w:after="60" w:before="60"/>
      </w:pPr>
      <w:r>
        <w:rPr>
          <w:rFonts w:ascii="Arial" w:cs="Arial" w:eastAsia="Arial" w:hAnsi="Arial"/>
          <w:b w:val="false"/>
          <w:bCs w:val="false"/>
          <w:sz w:val="22"/>
          <w:szCs w:val="22"/>
        </w:rPr>
        <w:t xml:space="preserve">Deliverables: Peer-review-style paper, live Hugging Face demo, public GitHub repository</w:t>
      </w:r>
    </w:p>
    <w:p>
      <w:pPr>
        <w:spacing w:after="0" w:before="80"/>
      </w:pPr>
      <w:r>
        <w:t xml:space="preserve"/>
      </w:r>
    </w:p>
    <w:p>
      <w:pPr>
        <w:spacing w:after="80" w:before="80"/>
      </w:pPr>
      <w:r>
        <w:rPr>
          <w:rFonts w:ascii="Arial" w:cs="Arial" w:eastAsia="Arial" w:hAnsi="Arial"/>
          <w:sz w:val="22"/>
          <w:szCs w:val="22"/>
        </w:rPr>
        <w:t xml:space="preserve">The paper is available at: dustinhaggett.com/papers/biolink-paper.pdf</w:t>
      </w:r>
    </w:p>
    <w:p>
      <w:pPr>
        <w:spacing w:after="0" w:before="120"/>
      </w:pPr>
      <w:r>
        <w:t xml:space="preserve"/>
      </w:r>
    </w:p>
    <w:p>
      <w:pPr>
        <w:pStyle w:val="Heading2"/>
        <w:spacing w:after="120" w:before="240"/>
      </w:pPr>
      <w:r>
        <w:rPr>
          <w:rFonts w:ascii="Arial" w:cs="Arial" w:eastAsia="Arial" w:hAnsi="Arial"/>
          <w:b/>
          <w:bCs/>
          <w:sz w:val="26"/>
          <w:szCs w:val="26"/>
        </w:rPr>
        <w:t xml:space="preserve">2.2  Limitations Identified</w:t>
      </w:r>
    </w:p>
    <w:p>
      <w:pPr>
        <w:spacing w:after="80" w:before="80"/>
      </w:pPr>
      <w:r>
        <w:rPr>
          <w:rFonts w:ascii="Arial" w:cs="Arial" w:eastAsia="Arial" w:hAnsi="Arial"/>
          <w:sz w:val="22"/>
          <w:szCs w:val="22"/>
        </w:rPr>
        <w:t xml:space="preserve">The v1 system revealed two critical limitations that directly motivate v2:</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Overconfident predictions: The model produced raw sigmoid outputs without calibration. Table 2 of the paper shows multiple predictions at probability ≥ 0.9999, indicating the model is poorly calibrated — confidence scores do not reliably reflect true accuracy.</w:t>
      </w:r>
    </w:p>
    <w:p>
      <w:pPr>
        <w:pStyle w:val="ListParagraph"/>
        <w:numPr>
          <w:ilvl w:val="0"/>
          <w:numId w:val="2"/>
        </w:numPr>
        <w:spacing w:after="60" w:before="60"/>
      </w:pPr>
      <w:r>
        <w:rPr>
          <w:rFonts w:ascii="Arial" w:cs="Arial" w:eastAsia="Arial" w:hAnsi="Arial"/>
          <w:b/>
          <w:bCs/>
          <w:sz w:val="22"/>
          <w:szCs w:val="22"/>
        </w:rPr>
        <w:t xml:space="preserve">Researcher-only UX: The interface required selecting drugs from a dropdown, required knowledge of CTD terminology, and returned raw probabilities — inaccessible to patients or clinicians without biomedical training.</w:t>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3.  Project Goal</w:t>
      </w:r>
    </w:p>
    <w:p>
      <w:pPr>
        <w:spacing w:after="80" w:before="80"/>
      </w:pPr>
      <w:r>
        <w:rPr>
          <w:rFonts w:ascii="Arial" w:cs="Arial" w:eastAsia="Arial" w:hAnsi="Arial"/>
          <w:sz w:val="22"/>
          <w:szCs w:val="22"/>
        </w:rPr>
        <w:t xml:space="preserve">BioLink v2 transforms the existing high-performing model into a genuinely useful tool for both patients and clinicians. The core goal is to build a disease-first application where someone — a patient, a caregiver, or a physician — can type a condition in plain English and receive a ranked list of candidate drugs with honest confidence levels and plain-English explanations of why each drug might be relevant.</w:t>
      </w:r>
    </w:p>
    <w:p>
      <w:pPr>
        <w:spacing w:after="0" w:before="80"/>
      </w:pPr>
      <w:r>
        <w:t xml:space="preserve"/>
      </w:r>
    </w:p>
    <w:p>
      <w:pPr>
        <w:spacing w:after="80" w:before="80"/>
      </w:pPr>
      <w:r>
        <w:rPr>
          <w:rFonts w:ascii="Arial" w:cs="Arial" w:eastAsia="Arial" w:hAnsi="Arial"/>
          <w:sz w:val="22"/>
          <w:szCs w:val="22"/>
        </w:rPr>
        <w:t xml:space="preserve">Critically, BioLink v2 is not a clinical decision-making tool. It is a hypothesis-generation and awareness tool that surfaces potentially relevant drugs for further investigation, conversation with a physician, or literature review.</w:t>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4.  System Architecture</w:t>
      </w:r>
    </w:p>
    <w:p>
      <w:pPr>
        <w:spacing w:after="80" w:before="80"/>
      </w:pPr>
      <w:r>
        <w:rPr>
          <w:rFonts w:ascii="Arial" w:cs="Arial" w:eastAsia="Arial" w:hAnsi="Arial"/>
          <w:sz w:val="22"/>
          <w:szCs w:val="22"/>
        </w:rPr>
        <w:t xml:space="preserve">The system is designed as five distinct layers, each with a clear responsibility: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sz w:val="18"/>
                <w:szCs w:val="18"/>
              </w:rPr>
              <w:t xml:space="preserve">User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Free-text disease 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types a condition in plain English (e.g. "my heart beats too fast") — no medical terminology required</w:t>
            </w:r>
          </w:p>
        </w:tc>
      </w:tr>
      <w:tr>
        <w:tc>
          <w:tcPr>
            <w:tcW w:type="dxa" w:w="1400"/>
            <w:tcBorders>
              <w:top w:val="single" w:color="CCCCCC" w:sz="1"/>
              <w:left w:val="single" w:color="CCCCCC" w:sz="1"/>
              <w:bottom w:val="single" w:color="CCCCCC" w:sz="1"/>
              <w:right w:val="single" w:color="CCCCCC" w:sz="1"/>
            </w:tcBorders>
            <w:shd w:fill="D1EDE4" w:val="clear"/>
            <w:tcMar>
              <w:top w:type="dxa" w:w="80"/>
              <w:left w:type="dxa" w:w="120"/>
              <w:bottom w:type="dxa" w:w="80"/>
              <w:right w:type="dxa" w:w="120"/>
            </w:tcMar>
          </w:tcPr>
          <w:p>
            <w:r>
              <w:rPr>
                <w:rFonts w:ascii="Arial" w:cs="Arial" w:eastAsia="Arial" w:hAnsi="Arial"/>
                <w:b/>
                <w:bCs/>
                <w:sz w:val="18"/>
                <w:szCs w:val="18"/>
              </w:rPr>
              <w:t xml:space="preserve">NLP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intent mapper + BioWordVec encoder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maps free text to the correct CTD disease entity; BioWordVec encodes it to a 200-dim vector</w:t>
            </w:r>
          </w:p>
        </w:tc>
      </w:tr>
      <w:tr>
        <w:tc>
          <w:tcPr>
            <w:tcW w:type="dxa" w:w="1400"/>
            <w:tcBorders>
              <w:top w:val="single" w:color="CCCCCC" w:sz="1"/>
              <w:left w:val="single" w:color="CCCCCC" w:sz="1"/>
              <w:bottom w:val="single" w:color="CCCCCC" w:sz="1"/>
              <w:right w:val="single" w:color="CCCCCC" w:sz="1"/>
            </w:tcBorders>
            <w:shd w:fill="C0E4D9" w:val="clear"/>
            <w:tcMar>
              <w:top w:type="dxa" w:w="80"/>
              <w:left w:type="dxa" w:w="120"/>
              <w:bottom w:type="dxa" w:w="80"/>
              <w:right w:type="dxa" w:w="120"/>
            </w:tcMar>
          </w:tcPr>
          <w:p>
            <w:r>
              <w:rPr>
                <w:rFonts w:ascii="Arial" w:cs="Arial" w:eastAsia="Arial" w:hAnsi="Arial"/>
                <w:b/>
                <w:bCs/>
                <w:sz w:val="18"/>
                <w:szCs w:val="18"/>
              </w:rPr>
              <w:t xml:space="preserve">ML 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MLP scorer + temperature scaling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Existing v1 model scores all drugs against the disease; temperature scaling calibrates confidence outputs</w:t>
            </w:r>
          </w:p>
        </w:tc>
      </w:tr>
      <w:tr>
        <w:tc>
          <w:tcPr>
            <w:tcW w:type="dxa" w:w="1400"/>
            <w:tcBorders>
              <w:top w:val="single" w:color="CCCCCC" w:sz="1"/>
              <w:left w:val="single" w:color="CCCCCC" w:sz="1"/>
              <w:bottom w:val="single" w:color="CCCCCC" w:sz="1"/>
              <w:right w:val="single" w:color="CCCCCC" w:sz="1"/>
            </w:tcBorders>
            <w:shd w:fill="AFD9CD" w:val="clear"/>
            <w:tcMar>
              <w:top w:type="dxa" w:w="80"/>
              <w:left w:type="dxa" w:w="120"/>
              <w:bottom w:type="dxa" w:w="80"/>
              <w:right w:type="dxa" w:w="120"/>
            </w:tcMar>
          </w:tcPr>
          <w:p>
            <w:r>
              <w:rPr>
                <w:rFonts w:ascii="Arial" w:cs="Arial" w:eastAsia="Arial" w:hAnsi="Arial"/>
                <w:b/>
                <w:bCs/>
                <w:sz w:val="18"/>
                <w:szCs w:val="18"/>
              </w:rPr>
              <w:t xml:space="preserve">Enrichment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PubMed API, OpenFDA API, LLM explanation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async calls add literature evidence counts, FDA approval status, and plain-English mechanism explanations</w:t>
            </w:r>
          </w:p>
        </w:tc>
      </w:tr>
      <w:tr>
        <w:tc>
          <w:tcPr>
            <w:tcW w:type="dxa" w:w="1400"/>
            <w:tcBorders>
              <w:top w:val="single" w:color="CCCCCC" w:sz="1"/>
              <w:left w:val="single" w:color="CCCCCC" w:sz="1"/>
              <w:bottom w:val="single" w:color="CCCCCC" w:sz="1"/>
              <w:right w:val="single" w:color="CCCCCC" w:sz="1"/>
            </w:tcBorders>
            <w:shd w:fill="9ECEC1" w:val="clear"/>
            <w:tcMar>
              <w:top w:type="dxa" w:w="80"/>
              <w:left w:type="dxa" w:w="120"/>
              <w:bottom w:type="dxa" w:w="80"/>
              <w:right w:type="dxa" w:w="120"/>
            </w:tcMar>
          </w:tcPr>
          <w:p>
            <w:r>
              <w:rPr>
                <w:rFonts w:ascii="Arial" w:cs="Arial" w:eastAsia="Arial" w:hAnsi="Arial"/>
                <w:b/>
                <w:bCs/>
                <w:sz w:val="18"/>
                <w:szCs w:val="18"/>
              </w:rPr>
              <w:t xml:space="preserve">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Ranked results UI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drug, confidence tier (Strong / Moderate / Speculative), FDA status, evidence count, and LLM explanation</w:t>
            </w:r>
          </w:p>
        </w:tc>
      </w:tr>
    </w:tbl>
    <w:p>
      <w:pPr>
        <w:spacing w:after="0" w:before="160"/>
      </w:pPr>
      <w:r>
        <w:t xml:space="preserve"/>
      </w:r>
    </w:p>
    <w:p>
      <w:pPr>
        <w:pStyle w:val="Heading2"/>
        <w:spacing w:after="120" w:before="240"/>
      </w:pPr>
      <w:r>
        <w:rPr>
          <w:rFonts w:ascii="Arial" w:cs="Arial" w:eastAsia="Arial" w:hAnsi="Arial"/>
          <w:b/>
          <w:bCs/>
          <w:sz w:val="26"/>
          <w:szCs w:val="26"/>
        </w:rPr>
        <w:t xml:space="preserve">4.1  Key Design Decisions</w:t>
      </w:r>
    </w:p>
    <w:p>
      <w:pPr>
        <w:spacing w:after="80" w:before="200"/>
      </w:pPr>
      <w:r>
        <w:rPr>
          <w:rFonts w:ascii="Arial" w:cs="Arial" w:eastAsia="Arial" w:hAnsi="Arial"/>
          <w:b/>
          <w:bCs/>
          <w:color w:val="0F6E56"/>
          <w:sz w:val="24"/>
          <w:szCs w:val="24"/>
        </w:rPr>
        <w:t xml:space="preserve">Disease-first search</w:t>
      </w:r>
    </w:p>
    <w:p>
      <w:pPr>
        <w:spacing w:after="80" w:before="80"/>
      </w:pPr>
      <w:r>
        <w:rPr>
          <w:rFonts w:ascii="Arial" w:cs="Arial" w:eastAsia="Arial" w:hAnsi="Arial"/>
          <w:sz w:val="22"/>
          <w:szCs w:val="22"/>
        </w:rPr>
        <w:t xml:space="preserve">v1 required users to select a drug and see which diseases it might treat. v2 inverts this to disease-first — a user enters their condition and sees which drugs might be relevant. This is the natural direction for both patients and clinicians.</w:t>
      </w:r>
    </w:p>
    <w:p>
      <w:pPr>
        <w:spacing w:after="80" w:before="200"/>
      </w:pPr>
      <w:r>
        <w:rPr>
          <w:rFonts w:ascii="Arial" w:cs="Arial" w:eastAsia="Arial" w:hAnsi="Arial"/>
          <w:b/>
          <w:bCs/>
          <w:color w:val="0F6E56"/>
          <w:sz w:val="24"/>
          <w:szCs w:val="24"/>
        </w:rPr>
        <w:t xml:space="preserve">LLM intent mapping</w:t>
      </w:r>
    </w:p>
    <w:p>
      <w:pPr>
        <w:spacing w:after="80" w:before="80"/>
      </w:pPr>
      <w:r>
        <w:rPr>
          <w:rFonts w:ascii="Arial" w:cs="Arial" w:eastAsia="Arial" w:hAnsi="Arial"/>
          <w:sz w:val="22"/>
          <w:szCs w:val="22"/>
        </w:rPr>
        <w:t xml:space="preserve">Rather than forcing users to select from a CTD disease dropdown, a Claude API call translates free-text input to the appropriate disease entity. This makes the tool accessible to non-researchers while maintaining alignment with the training data distribution.</w:t>
      </w:r>
    </w:p>
    <w:p>
      <w:pPr>
        <w:spacing w:after="80" w:before="200"/>
      </w:pPr>
      <w:r>
        <w:rPr>
          <w:rFonts w:ascii="Arial" w:cs="Arial" w:eastAsia="Arial" w:hAnsi="Arial"/>
          <w:b/>
          <w:bCs/>
          <w:color w:val="0F6E56"/>
          <w:sz w:val="24"/>
          <w:szCs w:val="24"/>
        </w:rPr>
        <w:t xml:space="preserve">Temperature scaling for calibration</w:t>
      </w:r>
    </w:p>
    <w:p>
      <w:pPr>
        <w:spacing w:after="80" w:before="80"/>
      </w:pPr>
      <w:r>
        <w:rPr>
          <w:rFonts w:ascii="Arial" w:cs="Arial" w:eastAsia="Arial" w:hAnsi="Arial"/>
          <w:sz w:val="22"/>
          <w:szCs w:val="22"/>
        </w:rPr>
        <w:t xml:space="preserve">The v1 model's overconfidence (multiple predictions at 0.9999+) is addressed with temperature scaling — a post-hoc calibration technique that scales the logits by a learned temperature parameter T. This requires only a single additional parameter fit on the validation set and takes approximately one day to implement and validate.</w:t>
      </w:r>
    </w:p>
    <w:p>
      <w:pPr>
        <w:spacing w:after="80" w:before="200"/>
      </w:pPr>
      <w:r>
        <w:rPr>
          <w:rFonts w:ascii="Arial" w:cs="Arial" w:eastAsia="Arial" w:hAnsi="Arial"/>
          <w:b/>
          <w:bCs/>
          <w:color w:val="0F6E56"/>
          <w:sz w:val="24"/>
          <w:szCs w:val="24"/>
        </w:rPr>
        <w:t xml:space="preserve">LLM explanation layer</w:t>
      </w:r>
    </w:p>
    <w:p>
      <w:pPr>
        <w:spacing w:after="80" w:before="80"/>
      </w:pPr>
      <w:r>
        <w:rPr>
          <w:rFonts w:ascii="Arial" w:cs="Arial" w:eastAsia="Arial" w:hAnsi="Arial"/>
          <w:sz w:val="22"/>
          <w:szCs w:val="22"/>
        </w:rPr>
        <w:t xml:space="preserve">Each top prediction is passed to Claude with the drug name, disease name, and CTD evidence metadata. Claude generates a plain-English explanation of the known or plausible mechanism of action, relevant caveats, and an appropriate disclaimer. This is the feature that makes results actionable for non-specialists.</w:t>
      </w:r>
    </w:p>
    <w:p>
      <w:pPr>
        <w:spacing w:after="80" w:before="200"/>
      </w:pPr>
      <w:r>
        <w:rPr>
          <w:rFonts w:ascii="Arial" w:cs="Arial" w:eastAsia="Arial" w:hAnsi="Arial"/>
          <w:b/>
          <w:bCs/>
          <w:color w:val="0F6E56"/>
          <w:sz w:val="24"/>
          <w:szCs w:val="24"/>
        </w:rPr>
        <w:t xml:space="preserve">Enrichment APIs</w:t>
      </w:r>
    </w:p>
    <w:p>
      <w:pPr>
        <w:spacing w:after="80" w:before="80"/>
      </w:pPr>
      <w:r>
        <w:rPr>
          <w:rFonts w:ascii="Arial" w:cs="Arial" w:eastAsia="Arial" w:hAnsi="Arial"/>
          <w:sz w:val="22"/>
          <w:szCs w:val="22"/>
        </w:rPr>
        <w:t xml:space="preserve">PubMed E-utilities API provides literature evidence counts (number of published papers supporting the association). OpenFDA API provides FDA approval status for each drug. These run in parallel and add critical context to each prediction with minimal latency impact.</w:t>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5.  What's New vs.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328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Search direction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Drug → diseases</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Disease → drugs (natural for patients)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Input format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Dropdown (CTD drug name required)</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Free text (plain English)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Confidence output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Raw sigmoid probability (uncalibrated)</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Temperature-scaled, bucketed into confidence tiers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Explainability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Probability score only</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LLM-generated plain-English mechanism explanation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External context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None</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PubMed evidence count + OpenFDA approval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Target user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Researchers only</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Patients, caregivers, and clinicians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Model weights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Same AUC 0.947 model</w:t>
            </w:r>
          </w:p>
        </w:tc>
        <w:tc>
          <w:tcPr>
            <w:tcW w:type="dxa" w:w="32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Same — no retraining needed</w:t>
            </w:r>
          </w:p>
        </w:tc>
      </w:tr>
    </w:tbl>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6.  Alignment with Course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0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How BioLink v2 satisfies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Problem Definition &amp; Impact</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repurposing accessibility is a documented public health problem. We have a published paper as evidence, and a live system as proof of prior work. Most students pitch ideas; we pitch a validated baseline with documented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Technical Execution</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PyTorch model satisfies AI/ML framework requirement. Temperature scaling, LLM API integration (Claude), PubMed and OpenFDA REST APIs, and NLP intent mapping all demonstrate technical depth. Deployable on Hugging Face Spaces.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Presentation &amp; Report</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 paper (14 pages) becomes the foundation. v2 report documents the system improvements, calibration analysis, and enrichment layer design — requiring minimal additional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Live Demonstration</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Hugging Face demo already exists for v1. v2 demo adds the disease-first UX, confidence tiers, and LLM explanations — highly interactive and visually compelling for a 10-minute pitch.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Innovation</w:t>
            </w:r>
          </w:p>
        </w:tc>
        <w:tc>
          <w:tcPr>
            <w:tcW w:type="dxa" w:w="1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b/>
                <w:bCs/>
                <w:color w:val="0F6E56"/>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LLM-powered intent mapping + plain-English explanations applied to a validated biomedical ML model is a genuinely novel combination in this domain.</w:t>
            </w:r>
          </w:p>
        </w:tc>
      </w:tr>
    </w:tbl>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7.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8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1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Week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Foundation &amp; calibration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v1 model runs cleanly. Implement temperature scaling. Validate calibration improvement on held-out set. Flip scoring to disease-first.</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Week 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intent mapper + enrichment APIs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free-text → CTD entity mapping via Claude API. Integrate PubMed E-utilities and OpenFDA APIs. Validate enrichment output quality.</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Week 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LLM explanation layer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and test explanation prompts. Build confidence tier labeling (Strong / Moderate / Speculative). Integrate all layers end-to-end.</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Week 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 rebuild + deployment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Streamlit prototype with polished Gradio or Streamlit redesign. Deploy to Hugging Face Spaces. Record walkthrough video.</w:t>
            </w:r>
          </w:p>
        </w:tc>
      </w:tr>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Week 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Report + presentation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project report documenting all changes from v1. Prepare 10-minute final presentation with live demo.</w:t>
            </w:r>
          </w:p>
        </w:tc>
      </w:tr>
    </w:tbl>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8.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6960"/>
            <w:tcBorders>
              <w:top w:val="single" w:color="CCCCCC" w:sz="1"/>
              <w:left w:val="single" w:color="CCCCCC" w:sz="1"/>
              <w:bottom w:val="single" w:color="CCCCCC" w:sz="1"/>
              <w:right w:val="single" w:color="CCCCCC" w:sz="1"/>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Dustin Haggett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core (temperature scaling, disease-first inference), LLM intent mapper, system integration, deployment, and documentation. Existing v1 model and paper.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Kera Prosper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 APIs (PubMed, OpenFDA), confidence tier design, and validation of enrichment output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Mia Braun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explanation layer (prompt design and testing), UI/UX redesign, and final presentation.</w:t>
            </w:r>
          </w:p>
        </w:tc>
      </w:tr>
    </w:tbl>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9.  Technology Stack</w:t>
      </w:r>
    </w:p>
    <w:p>
      <w:pPr>
        <w:pStyle w:val="ListParagraph"/>
        <w:numPr>
          <w:ilvl w:val="0"/>
          <w:numId w:val="2"/>
        </w:numPr>
        <w:spacing w:after="60" w:before="60"/>
      </w:pPr>
      <w:r>
        <w:rPr>
          <w:rFonts w:ascii="Arial" w:cs="Arial" w:eastAsia="Arial" w:hAnsi="Arial"/>
          <w:b w:val="false"/>
          <w:bCs w:val="false"/>
          <w:sz w:val="22"/>
          <w:szCs w:val="22"/>
        </w:rPr>
        <w:t xml:space="preserve">Model: PyTorch, BioWordVec, scikit-learn (temperature scaling)</w:t>
      </w:r>
    </w:p>
    <w:p>
      <w:pPr>
        <w:pStyle w:val="ListParagraph"/>
        <w:numPr>
          <w:ilvl w:val="0"/>
          <w:numId w:val="2"/>
        </w:numPr>
        <w:spacing w:after="60" w:before="60"/>
      </w:pPr>
      <w:r>
        <w:rPr>
          <w:rFonts w:ascii="Arial" w:cs="Arial" w:eastAsia="Arial" w:hAnsi="Arial"/>
          <w:b w:val="false"/>
          <w:bCs w:val="false"/>
          <w:sz w:val="22"/>
          <w:szCs w:val="22"/>
        </w:rPr>
        <w:t xml:space="preserve">LLM: Anthropic Claude API (intent mapping and explanations)</w:t>
      </w:r>
    </w:p>
    <w:p>
      <w:pPr>
        <w:pStyle w:val="ListParagraph"/>
        <w:numPr>
          <w:ilvl w:val="0"/>
          <w:numId w:val="2"/>
        </w:numPr>
        <w:spacing w:after="60" w:before="60"/>
      </w:pPr>
      <w:r>
        <w:rPr>
          <w:rFonts w:ascii="Arial" w:cs="Arial" w:eastAsia="Arial" w:hAnsi="Arial"/>
          <w:b w:val="false"/>
          <w:bCs w:val="false"/>
          <w:sz w:val="22"/>
          <w:szCs w:val="22"/>
        </w:rPr>
        <w:t xml:space="preserve">Enrichment: PubMed E-utilities REST API, OpenFDA REST API</w:t>
      </w:r>
    </w:p>
    <w:p>
      <w:pPr>
        <w:pStyle w:val="ListParagraph"/>
        <w:numPr>
          <w:ilvl w:val="0"/>
          <w:numId w:val="2"/>
        </w:numPr>
        <w:spacing w:after="60" w:before="60"/>
      </w:pPr>
      <w:r>
        <w:rPr>
          <w:rFonts w:ascii="Arial" w:cs="Arial" w:eastAsia="Arial" w:hAnsi="Arial"/>
          <w:b w:val="false"/>
          <w:bCs w:val="false"/>
          <w:sz w:val="22"/>
          <w:szCs w:val="22"/>
        </w:rPr>
        <w:t xml:space="preserve">Backend: Python, async HTTP (aiohttp or httpx for parallel enrichment calls)</w:t>
      </w:r>
    </w:p>
    <w:p>
      <w:pPr>
        <w:pStyle w:val="ListParagraph"/>
        <w:numPr>
          <w:ilvl w:val="0"/>
          <w:numId w:val="2"/>
        </w:numPr>
        <w:spacing w:after="60" w:before="60"/>
      </w:pPr>
      <w:r>
        <w:rPr>
          <w:rFonts w:ascii="Arial" w:cs="Arial" w:eastAsia="Arial" w:hAnsi="Arial"/>
          <w:b w:val="false"/>
          <w:bCs w:val="false"/>
          <w:sz w:val="22"/>
          <w:szCs w:val="22"/>
        </w:rPr>
        <w:t xml:space="preserve">Frontend: Streamlit or Gradio (polished redesign)</w:t>
      </w:r>
    </w:p>
    <w:p>
      <w:pPr>
        <w:pStyle w:val="ListParagraph"/>
        <w:numPr>
          <w:ilvl w:val="0"/>
          <w:numId w:val="2"/>
        </w:numPr>
        <w:spacing w:after="60" w:before="60"/>
      </w:pPr>
      <w:r>
        <w:rPr>
          <w:rFonts w:ascii="Arial" w:cs="Arial" w:eastAsia="Arial" w:hAnsi="Arial"/>
          <w:b w:val="false"/>
          <w:bCs w:val="false"/>
          <w:sz w:val="22"/>
          <w:szCs w:val="22"/>
        </w:rPr>
        <w:t xml:space="preserve">Deployment: Hugging Face Spaces (free tier, live URL for demo)</w:t>
      </w:r>
    </w:p>
    <w:p>
      <w:pPr>
        <w:pStyle w:val="ListParagraph"/>
        <w:numPr>
          <w:ilvl w:val="0"/>
          <w:numId w:val="2"/>
        </w:numPr>
        <w:spacing w:after="60" w:before="60"/>
      </w:pPr>
      <w:r>
        <w:rPr>
          <w:rFonts w:ascii="Arial" w:cs="Arial" w:eastAsia="Arial" w:hAnsi="Arial"/>
          <w:b w:val="false"/>
          <w:bCs w:val="false"/>
          <w:sz w:val="22"/>
          <w:szCs w:val="22"/>
        </w:rPr>
        <w:t xml:space="preserve">Repository: GitHub (public, with README, paper link, and usage guide)</w:t>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10.  Ethical Considerations and Limitations</w:t>
      </w:r>
    </w:p>
    <w:p>
      <w:pPr>
        <w:spacing w:after="80" w:before="80"/>
      </w:pPr>
      <w:r>
        <w:rPr>
          <w:rFonts w:ascii="Arial" w:cs="Arial" w:eastAsia="Arial" w:hAnsi="Arial"/>
          <w:sz w:val="22"/>
          <w:szCs w:val="22"/>
        </w:rPr>
        <w:t xml:space="preserve">BioLink v2 is a hypothesis-generation and drug awareness tool. It is explicitly not a clinical decision-making system. All predictions are presented with:</w:t>
      </w:r>
    </w:p>
    <w:p>
      <w:pPr>
        <w:spacing w:after="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Prominent disclaimers: "Not medical advice — consult a qualified physician before considering any treatment"</w:t>
      </w:r>
    </w:p>
    <w:p>
      <w:pPr>
        <w:pStyle w:val="ListParagraph"/>
        <w:numPr>
          <w:ilvl w:val="0"/>
          <w:numId w:val="2"/>
        </w:numPr>
        <w:spacing w:after="60" w:before="60"/>
      </w:pPr>
      <w:r>
        <w:rPr>
          <w:rFonts w:ascii="Arial" w:cs="Arial" w:eastAsia="Arial" w:hAnsi="Arial"/>
          <w:b w:val="false"/>
          <w:bCs w:val="false"/>
          <w:sz w:val="22"/>
          <w:szCs w:val="22"/>
        </w:rPr>
        <w:t xml:space="preserve">Calibrated confidence tiers so users understand the reliability of each prediction</w:t>
      </w:r>
    </w:p>
    <w:p>
      <w:pPr>
        <w:pStyle w:val="ListParagraph"/>
        <w:numPr>
          <w:ilvl w:val="0"/>
          <w:numId w:val="2"/>
        </w:numPr>
        <w:spacing w:after="60" w:before="60"/>
      </w:pPr>
      <w:r>
        <w:rPr>
          <w:rFonts w:ascii="Arial" w:cs="Arial" w:eastAsia="Arial" w:hAnsi="Arial"/>
          <w:b w:val="false"/>
          <w:bCs w:val="false"/>
          <w:sz w:val="22"/>
          <w:szCs w:val="22"/>
        </w:rPr>
        <w:t xml:space="preserve">Source transparency: CTD evidence counts and PubMed links so users can trace predictions to primary literature</w:t>
      </w:r>
    </w:p>
    <w:p>
      <w:pPr>
        <w:spacing w:after="0" w:before="80"/>
      </w:pPr>
      <w:r>
        <w:t xml:space="preserve"/>
      </w:r>
    </w:p>
    <w:p>
      <w:pPr>
        <w:spacing w:after="80" w:before="80"/>
      </w:pPr>
      <w:r>
        <w:rPr>
          <w:rFonts w:ascii="Arial" w:cs="Arial" w:eastAsia="Arial" w:hAnsi="Arial"/>
          <w:sz w:val="22"/>
          <w:szCs w:val="22"/>
        </w:rPr>
        <w:t xml:space="preserve">The underlying CTD dataset reflects published biomedical literature, which may contain biases toward well-studied drugs and diseases. The model's predictions should be treated as prioritization signals for further research, not as clinical recommendations.</w:t>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11.  Conclusion</w:t>
      </w:r>
    </w:p>
    <w:p>
      <w:pPr>
        <w:spacing w:after="80" w:before="80"/>
      </w:pPr>
      <w:r>
        <w:rPr>
          <w:rFonts w:ascii="Arial" w:cs="Arial" w:eastAsia="Arial" w:hAnsi="Arial"/>
          <w:sz w:val="22"/>
          <w:szCs w:val="22"/>
        </w:rPr>
        <w:t xml:space="preserve">BioLink v2 takes a validated, high-performing drug repurposing model and transforms it into something genuinely valuable for the people it could help most. By combining calibrated ML predictions with LLM-powered accessibility — natural language input, plain-English explanations, and honest confidence communication — the project demonstrates how AI systems can be made more trustworthy and practically useful for real-world health decisions.</w:t>
      </w:r>
    </w:p>
    <w:p>
      <w:pPr>
        <w:spacing w:after="0" w:before="80"/>
      </w:pPr>
      <w:r>
        <w:t xml:space="preserve"/>
      </w:r>
    </w:p>
    <w:p>
      <w:pPr>
        <w:spacing w:after="80" w:before="80"/>
      </w:pPr>
      <w:r>
        <w:rPr>
          <w:rFonts w:ascii="Arial" w:cs="Arial" w:eastAsia="Arial" w:hAnsi="Arial"/>
          <w:sz w:val="22"/>
          <w:szCs w:val="22"/>
        </w:rPr>
        <w:t xml:space="preserve">The project is well-scoped for a 5-week team effort. The ML core is proven. The novel contributions are the calibration layer, the LLM integration, and the consumer-facing UX redesign — all feasible and clearly partitioned across team members.</w:t>
      </w:r>
    </w:p>
    <w:p>
      <w:pPr>
        <w:spacing w:after="0" w:before="80"/>
      </w:pPr>
      <w:r>
        <w:t xml:space="preserve"/>
      </w:r>
    </w:p>
    <w:p>
      <w:pPr>
        <w:pBdr>
          <w:bottom w:val="single" w:color="0F6E56" w:sz="6" w:space="1"/>
        </w:pBdr>
        <w:spacing w:after="160" w:before="160"/>
      </w:pPr>
      <w:r>
        <w:t xml:space="preserve"/>
      </w:r>
    </w:p>
    <w:p>
      <w:pPr>
        <w:pStyle w:val="Heading1"/>
      </w:pPr>
      <w:r>
        <w:rPr>
          <w:rFonts w:ascii="Arial" w:cs="Arial" w:eastAsia="Arial" w:hAnsi="Arial"/>
          <w:b/>
          <w:bCs/>
          <w:sz w:val="32"/>
          <w:szCs w:val="32"/>
        </w:rPr>
        <w:t xml:space="preserve">References</w:t>
      </w:r>
    </w:p>
    <w:p>
      <w:pPr>
        <w:spacing w:after="80" w:before="80"/>
      </w:pPr>
      <w:r>
        <w:rPr>
          <w:rFonts w:ascii="Arial" w:cs="Arial" w:eastAsia="Arial" w:hAnsi="Arial"/>
          <w:sz w:val="22"/>
          <w:szCs w:val="22"/>
        </w:rPr>
        <w:t xml:space="preserve">[1] Haggett, D. M. AI-Driven Drug–Disease Modeling Using Biomedical and Transformer Embeddings. ParallaxLab, 2025. dustinhaggett.com/papers/biolink-paper.pdf</w:t>
      </w:r>
    </w:p>
    <w:p>
      <w:pPr>
        <w:spacing w:after="80" w:before="80"/>
      </w:pPr>
      <w:r>
        <w:rPr>
          <w:rFonts w:ascii="Arial" w:cs="Arial" w:eastAsia="Arial" w:hAnsi="Arial"/>
          <w:sz w:val="22"/>
          <w:szCs w:val="22"/>
        </w:rPr>
        <w:t xml:space="preserve">[2] Davis, A. P. et al. The Comparative Toxicogenomics Database: update and applications. Nucleic Acids Research, 48(D1):D948–D954, 2020.</w:t>
      </w:r>
    </w:p>
    <w:p>
      <w:pPr>
        <w:spacing w:after="80" w:before="80"/>
      </w:pPr>
      <w:r>
        <w:rPr>
          <w:rFonts w:ascii="Arial" w:cs="Arial" w:eastAsia="Arial" w:hAnsi="Arial"/>
          <w:sz w:val="22"/>
          <w:szCs w:val="22"/>
        </w:rPr>
        <w:t xml:space="preserve">[3] Zhang, Y. et al. BioWordVec, improving biomedical word embeddings with subword information and MeSH. Scientific Data, 6(1):52, 2019.</w:t>
      </w:r>
    </w:p>
    <w:p>
      <w:pPr>
        <w:spacing w:after="80" w:before="80"/>
      </w:pPr>
      <w:r>
        <w:rPr>
          <w:rFonts w:ascii="Arial" w:cs="Arial" w:eastAsia="Arial" w:hAnsi="Arial"/>
          <w:sz w:val="22"/>
          <w:szCs w:val="22"/>
        </w:rPr>
        <w:t xml:space="preserve">[4] BioLink v1 Demo: huggingface.co/spaces/dustinhaggett/biolink-demo</w:t>
      </w:r>
    </w:p>
    <w:p>
      <w:pPr>
        <w:spacing w:after="80" w:before="80"/>
      </w:pPr>
      <w:r>
        <w:rPr>
          <w:rFonts w:ascii="Arial" w:cs="Arial" w:eastAsia="Arial" w:hAnsi="Arial"/>
          <w:sz w:val="22"/>
          <w:szCs w:val="22"/>
        </w:rPr>
        <w:t xml:space="preserve">[5] BioLink v1 Project Page: dustinhaggett.com/projects/biolink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BioLink v2 Project Proposal  |  AAI 595: Applied Machine Learning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8504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2026-03-13T14:12:12.823Z</dcterms:created>
  <dcterms:modified xsi:type="dcterms:W3CDTF">2026-03-13T14:12:12.824Z</dcterms:modified>
</cp:coreProperties>
</file>

<file path=docProps/custom.xml><?xml version="1.0" encoding="utf-8"?>
<Properties xmlns="http://schemas.openxmlformats.org/officeDocument/2006/custom-properties" xmlns:vt="http://schemas.openxmlformats.org/officeDocument/2006/docPropsVTypes"/>
</file>