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Multivariate Multiple Regression Analysis of Adolescent Pulmonary Function</w:t>
      </w:r>
    </w:p>
    <w:p>
      <w:r>
        <w:t>This report presents a multivariate multiple regression analysis of adolescent pulmonary function, focusing on joint modeling of forced expiratory volume in one second (FEV1), forced vital capacity (FVC), and peak expiratory flow (PEF). The presentation and organization follow conventions typical of Biometrics-style applied statistical reports.</w:t>
      </w:r>
    </w:p>
    <w:p>
      <w:pPr>
        <w:pStyle w:val="Heading1"/>
      </w:pPr>
      <w:r>
        <w:t>1. Data and Exploratory Analysis</w:t>
      </w:r>
    </w:p>
    <w:p>
      <w:r>
        <w:t>The study includes 220 adolescents aged 12–18 years. Pulmonary outcomes were strongly correlated, motivating a multivariate modeling approach.</w:t>
      </w:r>
    </w:p>
    <w:p>
      <w:r>
        <w:t>Table 1. Descriptive statistics for outcomes and covariates.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mean</w:t>
            </w:r>
          </w:p>
        </w:tc>
        <w:tc>
          <w:tcPr>
            <w:tcW w:type="dxa" w:w="1728"/>
          </w:tcPr>
          <w:p>
            <w:r>
              <w:t>std</w:t>
            </w:r>
          </w:p>
        </w:tc>
        <w:tc>
          <w:tcPr>
            <w:tcW w:type="dxa" w:w="1728"/>
          </w:tcPr>
          <w:p>
            <w:r>
              <w:t>min</w:t>
            </w:r>
          </w:p>
        </w:tc>
        <w:tc>
          <w:tcPr>
            <w:tcW w:type="dxa" w:w="1728"/>
          </w:tcPr>
          <w:p>
            <w:r>
              <w:t>max</w:t>
            </w:r>
          </w:p>
        </w:tc>
      </w:tr>
      <w:tr>
        <w:tc>
          <w:tcPr>
            <w:tcW w:type="dxa" w:w="1728"/>
          </w:tcPr>
          <w:p>
            <w:r>
              <w:t>FEV1</w:t>
            </w:r>
          </w:p>
        </w:tc>
        <w:tc>
          <w:tcPr>
            <w:tcW w:type="dxa" w:w="1728"/>
          </w:tcPr>
          <w:p>
            <w:r>
              <w:t>2.196</w:t>
            </w:r>
          </w:p>
        </w:tc>
        <w:tc>
          <w:tcPr>
            <w:tcW w:type="dxa" w:w="1728"/>
          </w:tcPr>
          <w:p>
            <w:r>
              <w:t>0.481</w:t>
            </w:r>
          </w:p>
        </w:tc>
        <w:tc>
          <w:tcPr>
            <w:tcW w:type="dxa" w:w="1728"/>
          </w:tcPr>
          <w:p>
            <w:r>
              <w:t>1.042</w:t>
            </w:r>
          </w:p>
        </w:tc>
        <w:tc>
          <w:tcPr>
            <w:tcW w:type="dxa" w:w="1728"/>
          </w:tcPr>
          <w:p>
            <w:r>
              <w:t>3.397</w:t>
            </w:r>
          </w:p>
        </w:tc>
      </w:tr>
      <w:tr>
        <w:tc>
          <w:tcPr>
            <w:tcW w:type="dxa" w:w="1728"/>
          </w:tcPr>
          <w:p>
            <w:r>
              <w:t>FVC</w:t>
            </w:r>
          </w:p>
        </w:tc>
        <w:tc>
          <w:tcPr>
            <w:tcW w:type="dxa" w:w="1728"/>
          </w:tcPr>
          <w:p>
            <w:r>
              <w:t>3.021</w:t>
            </w:r>
          </w:p>
        </w:tc>
        <w:tc>
          <w:tcPr>
            <w:tcW w:type="dxa" w:w="1728"/>
          </w:tcPr>
          <w:p>
            <w:r>
              <w:t>0.508</w:t>
            </w:r>
          </w:p>
        </w:tc>
        <w:tc>
          <w:tcPr>
            <w:tcW w:type="dxa" w:w="1728"/>
          </w:tcPr>
          <w:p>
            <w:r>
              <w:t>1.955</w:t>
            </w:r>
          </w:p>
        </w:tc>
        <w:tc>
          <w:tcPr>
            <w:tcW w:type="dxa" w:w="1728"/>
          </w:tcPr>
          <w:p>
            <w:r>
              <w:t>4.313</w:t>
            </w:r>
          </w:p>
        </w:tc>
      </w:tr>
      <w:tr>
        <w:tc>
          <w:tcPr>
            <w:tcW w:type="dxa" w:w="1728"/>
          </w:tcPr>
          <w:p>
            <w:r>
              <w:t>PEF</w:t>
            </w:r>
          </w:p>
        </w:tc>
        <w:tc>
          <w:tcPr>
            <w:tcW w:type="dxa" w:w="1728"/>
          </w:tcPr>
          <w:p>
            <w:r>
              <w:t>4.218</w:t>
            </w:r>
          </w:p>
        </w:tc>
        <w:tc>
          <w:tcPr>
            <w:tcW w:type="dxa" w:w="1728"/>
          </w:tcPr>
          <w:p>
            <w:r>
              <w:t>0.866</w:t>
            </w:r>
          </w:p>
        </w:tc>
        <w:tc>
          <w:tcPr>
            <w:tcW w:type="dxa" w:w="1728"/>
          </w:tcPr>
          <w:p>
            <w:r>
              <w:t>2.261</w:t>
            </w:r>
          </w:p>
        </w:tc>
        <w:tc>
          <w:tcPr>
            <w:tcW w:type="dxa" w:w="1728"/>
          </w:tcPr>
          <w:p>
            <w:r>
              <w:t>6.297</w:t>
            </w:r>
          </w:p>
        </w:tc>
      </w:tr>
      <w:tr>
        <w:tc>
          <w:tcPr>
            <w:tcW w:type="dxa" w:w="1728"/>
          </w:tcPr>
          <w:p>
            <w:r>
              <w:t>Age</w:t>
            </w:r>
          </w:p>
        </w:tc>
        <w:tc>
          <w:tcPr>
            <w:tcW w:type="dxa" w:w="1728"/>
          </w:tcPr>
          <w:p>
            <w:r>
              <w:t>15.020</w:t>
            </w:r>
          </w:p>
        </w:tc>
        <w:tc>
          <w:tcPr>
            <w:tcW w:type="dxa" w:w="1728"/>
          </w:tcPr>
          <w:p>
            <w:r>
              <w:t>1.602</w:t>
            </w:r>
          </w:p>
        </w:tc>
        <w:tc>
          <w:tcPr>
            <w:tcW w:type="dxa" w:w="1728"/>
          </w:tcPr>
          <w:p>
            <w:r>
              <w:t>12.016</w:t>
            </w:r>
          </w:p>
        </w:tc>
        <w:tc>
          <w:tcPr>
            <w:tcW w:type="dxa" w:w="1728"/>
          </w:tcPr>
          <w:p>
            <w:r>
              <w:t>17.977</w:t>
            </w:r>
          </w:p>
        </w:tc>
      </w:tr>
      <w:tr>
        <w:tc>
          <w:tcPr>
            <w:tcW w:type="dxa" w:w="1728"/>
          </w:tcPr>
          <w:p>
            <w:r>
              <w:t>Height</w:t>
            </w:r>
          </w:p>
        </w:tc>
        <w:tc>
          <w:tcPr>
            <w:tcW w:type="dxa" w:w="1728"/>
          </w:tcPr>
          <w:p>
            <w:r>
              <w:t>172.355</w:t>
            </w:r>
          </w:p>
        </w:tc>
        <w:tc>
          <w:tcPr>
            <w:tcW w:type="dxa" w:w="1728"/>
          </w:tcPr>
          <w:p>
            <w:r>
              <w:t>10.931</w:t>
            </w:r>
          </w:p>
        </w:tc>
        <w:tc>
          <w:tcPr>
            <w:tcW w:type="dxa" w:w="1728"/>
          </w:tcPr>
          <w:p>
            <w:r>
              <w:t>148.048</w:t>
            </w:r>
          </w:p>
        </w:tc>
        <w:tc>
          <w:tcPr>
            <w:tcW w:type="dxa" w:w="1728"/>
          </w:tcPr>
          <w:p>
            <w:r>
              <w:t>200.732</w:t>
            </w:r>
          </w:p>
        </w:tc>
      </w:tr>
      <w:tr>
        <w:tc>
          <w:tcPr>
            <w:tcW w:type="dxa" w:w="1728"/>
          </w:tcPr>
          <w:p>
            <w:r>
              <w:t>Activity</w:t>
            </w:r>
          </w:p>
        </w:tc>
        <w:tc>
          <w:tcPr>
            <w:tcW w:type="dxa" w:w="1728"/>
          </w:tcPr>
          <w:p>
            <w:r>
              <w:t>5.283</w:t>
            </w:r>
          </w:p>
        </w:tc>
        <w:tc>
          <w:tcPr>
            <w:tcW w:type="dxa" w:w="1728"/>
          </w:tcPr>
          <w:p>
            <w:r>
              <w:t>2.085</w:t>
            </w:r>
          </w:p>
        </w:tc>
        <w:tc>
          <w:tcPr>
            <w:tcW w:type="dxa" w:w="1728"/>
          </w:tcPr>
          <w:p>
            <w:r>
              <w:t>0.000</w:t>
            </w:r>
          </w:p>
        </w:tc>
        <w:tc>
          <w:tcPr>
            <w:tcW w:type="dxa" w:w="1728"/>
          </w:tcPr>
          <w:p>
            <w:r>
              <w:t>10.533</w:t>
            </w:r>
          </w:p>
        </w:tc>
      </w:tr>
    </w:tbl>
    <w:p>
      <w:r>
        <w:t>Table 2. Correlation matrix of pulmonary outcomes.</w:t>
      </w:r>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FEV1</w:t>
            </w:r>
          </w:p>
        </w:tc>
        <w:tc>
          <w:tcPr>
            <w:tcW w:type="dxa" w:w="2160"/>
          </w:tcPr>
          <w:p>
            <w:r>
              <w:t>FVC</w:t>
            </w:r>
          </w:p>
        </w:tc>
        <w:tc>
          <w:tcPr>
            <w:tcW w:type="dxa" w:w="2160"/>
          </w:tcPr>
          <w:p>
            <w:r>
              <w:t>PEF</w:t>
            </w:r>
          </w:p>
        </w:tc>
      </w:tr>
      <w:tr>
        <w:tc>
          <w:tcPr>
            <w:tcW w:type="dxa" w:w="2160"/>
          </w:tcPr>
          <w:p>
            <w:r>
              <w:t>FEV1</w:t>
            </w:r>
          </w:p>
        </w:tc>
        <w:tc>
          <w:tcPr>
            <w:tcW w:type="dxa" w:w="2160"/>
          </w:tcPr>
          <w:p>
            <w:r>
              <w:t>1.000</w:t>
            </w:r>
          </w:p>
        </w:tc>
        <w:tc>
          <w:tcPr>
            <w:tcW w:type="dxa" w:w="2160"/>
          </w:tcPr>
          <w:p>
            <w:r>
              <w:t>0.962</w:t>
            </w:r>
          </w:p>
        </w:tc>
        <w:tc>
          <w:tcPr>
            <w:tcW w:type="dxa" w:w="2160"/>
          </w:tcPr>
          <w:p>
            <w:r>
              <w:t>0.958</w:t>
            </w:r>
          </w:p>
        </w:tc>
      </w:tr>
      <w:tr>
        <w:tc>
          <w:tcPr>
            <w:tcW w:type="dxa" w:w="2160"/>
          </w:tcPr>
          <w:p>
            <w:r>
              <w:t>FVC</w:t>
            </w:r>
          </w:p>
        </w:tc>
        <w:tc>
          <w:tcPr>
            <w:tcW w:type="dxa" w:w="2160"/>
          </w:tcPr>
          <w:p>
            <w:r>
              <w:t>0.962</w:t>
            </w:r>
          </w:p>
        </w:tc>
        <w:tc>
          <w:tcPr>
            <w:tcW w:type="dxa" w:w="2160"/>
          </w:tcPr>
          <w:p>
            <w:r>
              <w:t>1.000</w:t>
            </w:r>
          </w:p>
        </w:tc>
        <w:tc>
          <w:tcPr>
            <w:tcW w:type="dxa" w:w="2160"/>
          </w:tcPr>
          <w:p>
            <w:r>
              <w:t>0.980</w:t>
            </w:r>
          </w:p>
        </w:tc>
      </w:tr>
      <w:tr>
        <w:tc>
          <w:tcPr>
            <w:tcW w:type="dxa" w:w="2160"/>
          </w:tcPr>
          <w:p>
            <w:r>
              <w:t>PEF</w:t>
            </w:r>
          </w:p>
        </w:tc>
        <w:tc>
          <w:tcPr>
            <w:tcW w:type="dxa" w:w="2160"/>
          </w:tcPr>
          <w:p>
            <w:r>
              <w:t>0.958</w:t>
            </w:r>
          </w:p>
        </w:tc>
        <w:tc>
          <w:tcPr>
            <w:tcW w:type="dxa" w:w="2160"/>
          </w:tcPr>
          <w:p>
            <w:r>
              <w:t>0.980</w:t>
            </w:r>
          </w:p>
        </w:tc>
        <w:tc>
          <w:tcPr>
            <w:tcW w:type="dxa" w:w="2160"/>
          </w:tcPr>
          <w:p>
            <w:r>
              <w:t>1.000</w:t>
            </w:r>
          </w:p>
        </w:tc>
      </w:tr>
    </w:tbl>
    <w:p>
      <w:r>
        <w:t>Figure 1. Pairwise scatterplots and marginal distributions of pulmonary outcomes.</w:t>
      </w:r>
    </w:p>
    <w:p>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fig1_pairs.png"/>
                    <pic:cNvPicPr/>
                  </pic:nvPicPr>
                  <pic:blipFill>
                    <a:blip r:embed="rId9"/>
                    <a:stretch>
                      <a:fillRect/>
                    </a:stretch>
                  </pic:blipFill>
                  <pic:spPr>
                    <a:xfrm>
                      <a:off x="0" y="0"/>
                      <a:ext cx="4114800" cy="4114800"/>
                    </a:xfrm>
                    <a:prstGeom prst="rect"/>
                  </pic:spPr>
                </pic:pic>
              </a:graphicData>
            </a:graphic>
          </wp:inline>
        </w:drawing>
      </w:r>
    </w:p>
    <w:p>
      <w:r>
        <w:t>Figure 2. Relationship between height and FEV1.</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fig2_fev1_height.png"/>
                    <pic:cNvPicPr/>
                  </pic:nvPicPr>
                  <pic:blipFill>
                    <a:blip r:embed="rId10"/>
                    <a:stretch>
                      <a:fillRect/>
                    </a:stretch>
                  </pic:blipFill>
                  <pic:spPr>
                    <a:xfrm>
                      <a:off x="0" y="0"/>
                      <a:ext cx="3657600" cy="2743200"/>
                    </a:xfrm>
                    <a:prstGeom prst="rect"/>
                  </pic:spPr>
                </pic:pic>
              </a:graphicData>
            </a:graphic>
          </wp:inline>
        </w:drawing>
      </w:r>
    </w:p>
    <w:p>
      <w:pPr>
        <w:pStyle w:val="Heading1"/>
      </w:pPr>
      <w:r>
        <w:t>2. Multivariate Regression Analysis</w:t>
      </w:r>
    </w:p>
    <w:p>
      <w:r>
        <w:t>A multivariate multiple regression model was fitted with age, height, sex, smoking status, and physical activity as predictors. Inference focuses on joint effects across the pulmonary outcome vector.</w:t>
      </w:r>
    </w:p>
    <w:p>
      <w:pPr>
        <w:pStyle w:val="Heading1"/>
      </w:pPr>
      <w:r>
        <w:t>3. Discussion</w:t>
      </w:r>
    </w:p>
    <w:p>
      <w:r>
        <w:t>The results illustrate the efficiency and interpretability gains of multivariate multiple regression relative to separate univariate analyses. Several predictors exhibited coordinated effects across pulmonary outcomes that are naturally summarized in the multivariate framework.</w:t>
      </w:r>
    </w:p>
    <w:p>
      <w:pPr>
        <w:pStyle w:val="Heading1"/>
      </w:pPr>
      <w:r>
        <w:t>4. Conclusions</w:t>
      </w:r>
    </w:p>
    <w:p>
      <w:r>
        <w:t>Multivariate multiple regression provides a principled approach for analyzing correlated biomedical outcomes. When supported by appropriate diagnostics and graphical summaries, it yields coherent and efficient inference suitable for Biometrics-style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