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kz4kau419ebh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X010 ON Demand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11ex9fhq6bid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45 000 ₽</w:t>
      </w:r>
    </w:p>
    <w:p w:rsidR="00000000" w:rsidDel="00000000" w:rsidP="00000000" w:rsidRDefault="00000000" w:rsidRPr="00000000" w14:paraId="00000003">
      <w:pPr>
        <w:spacing w:after="340" w:lineRule="auto"/>
        <w:rPr>
          <w:rFonts w:ascii="Roboto" w:cs="Roboto" w:eastAsia="Roboto" w:hAnsi="Roboto"/>
          <w:color w:val="9898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89898"/>
          <w:sz w:val="21"/>
          <w:szCs w:val="21"/>
          <w:rtl w:val="0"/>
        </w:rPr>
        <w:t xml:space="preserve">Преимущества:</w:t>
      </w:r>
    </w:p>
    <w:p w:rsidR="00000000" w:rsidDel="00000000" w:rsidP="00000000" w:rsidRDefault="00000000" w:rsidRPr="00000000" w14:paraId="00000004">
      <w:pPr>
        <w:spacing w:after="100" w:before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Три возможных режима: одинарная и двойная дозировка, свободный помол, Счетчик порций с функцией обнуления, Прямой помол, Удобный сенсорный экран, Информация о температуре жерновов и влажности, Точная настройка дозировок по секундам, Простота обслуживания</w:t>
      </w:r>
    </w:p>
    <w:p w:rsidR="00000000" w:rsidDel="00000000" w:rsidP="00000000" w:rsidRDefault="00000000" w:rsidRPr="00000000" w14:paraId="00000005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ТЕХНИЧЕСКАЯ ИНФОРМАЦИЯ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5312.7270541563985"/>
        <w:gridCol w:w="3712.784756867224"/>
        <w:tblGridChange w:id="0">
          <w:tblGrid>
            <w:gridCol w:w="5312.7270541563985"/>
            <w:gridCol w:w="3712.78475686722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280x650x390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14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сенсорный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бункера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Диаметр жерновов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64 мм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