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md3wzsbqkxgu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26 Plus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yiv77088rfkn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291 700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Встречайте новинку в линейке кофемашин BlueDot – BlueDot 26 Plus! Она отличается высокой практичностью и модульным дизайном и вмещает все лучшие технологии BlueDot в беспрецедентно компактном корпусе. Несмотря на небольшие размеры, BlueDot 26 обеспечена интуитивным пользовательским интерфейсом и способна обеспечить первоклассную производительность до 75 чашек в час. Эта кофемашина станет прекрасным дополнением для небольших отелей, офисов и кафе быстрого питания, а удобный 7-дюймовый touch-screen обеспечивает интуитивно понятное управление и выбор напитков.</w:t>
      </w: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shd w:fill="c4c4c4" w:val="clear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804.647472501052"/>
        <w:gridCol w:w="5220.8643385225705"/>
        <w:tblGridChange w:id="0">
          <w:tblGrid>
            <w:gridCol w:w="3804.647472501052"/>
            <w:gridCol w:w="5220.86433852257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260x585x550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20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7-дюймовый сенсорный 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 модуль WIFI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