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hjqkt878y9gh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Plus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sz w:val="48"/>
          <w:szCs w:val="48"/>
        </w:rPr>
      </w:pPr>
      <w:bookmarkStart w:colFirst="0" w:colLast="0" w:name="_jy29qdk1znhu" w:id="1"/>
      <w:bookmarkEnd w:id="1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от 210 000₽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BlueDot Plus - это новая суперавтоматическая кофемашина, которая расширяет ассортимент услуг обслуживания сегментов рынка OCS, Horeca и CVS.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Новый 7-дюймовый сенсорный дисплей интуитивно понятен, настраивается для расширенного и улучшенного пользовательского опыта.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Большое количество возможных конфигураций - лишь одна из сильных сторон данной модели, несмотря на его компактные размеры.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BlueDot Plus можно подключить к источнику воды в 3 конфигурациях: внутренний резервуар для воды, прямое подключение к водопроводу или оба варианта (решение Water Jolly).</w:t>
      </w: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7">
      <w:pPr>
        <w:shd w:fill="e5e5e5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27.1310933461564"/>
        <w:gridCol w:w="5098.380717677466"/>
        <w:tblGridChange w:id="0">
          <w:tblGrid>
            <w:gridCol w:w="3927.1310933461564"/>
            <w:gridCol w:w="5098.380717677466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7-дюймовый сенсорный 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водопровода,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система распространения ароматов Aroma Diffusion,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система энергосбережения MaxSave, WIFI модуль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