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bqsyqusropuz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Суперавтоматическая кофемашина Mya Ultra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s6tgq2bmvoug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463 000 ₽</w:t>
      </w:r>
    </w:p>
    <w:p w:rsidR="00000000" w:rsidDel="00000000" w:rsidP="00000000" w:rsidRDefault="00000000" w:rsidRPr="00000000" w14:paraId="00000003">
      <w:pPr>
        <w:spacing w:after="180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Mya Ultra вобрала в себя лучшее, что есть в суперавтоматических кофемашинах CARIMALI: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Высочайшую производительность в своём классе (400 чашек в день)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Удобный и интуитивный интерфейс с большим 10-дюймовым тач-скрином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Высочайшее качество экстракции, благодаря мощному и вместительному заварному узлу на 20 г кофе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Превосходная работа со свежим молоком и одни из лучших показателей по приготовлению молочной пены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Множество разнообразных настроек, позволяющих довести рецептуру любого напитка до идеала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Надёжность и неприхотливость при работе в зонах самообслуживания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Привлекательная цена</w:t>
      </w:r>
    </w:p>
    <w:p w:rsidR="00000000" w:rsidDel="00000000" w:rsidP="00000000" w:rsidRDefault="00000000" w:rsidRPr="00000000" w14:paraId="0000000B">
      <w:pPr>
        <w:spacing w:after="180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Данная модель – настоящее открытие в сегменте высокопроизводительных суперавтоматических кофемашин. Благодаря сочетанию производительности флагманских кофемашин CARIMALI и стоимости менее 5000 евро данная кофемашина позволит организовать кофе-корнер в ритейле, обеспечить кофе большое мероприятие или обслужить большой поток клиентов в ресторанах быстрого питания при сохранении небольших сроков окупаемости. CARIMALI Mya Ultra станет отличным выбором для любого бизнеса в сфере HoReCa, будь то АЗС, отели, рестораны, кофе-корнеры или кафе.</w:t>
      </w:r>
    </w:p>
    <w:p w:rsidR="00000000" w:rsidDel="00000000" w:rsidP="00000000" w:rsidRDefault="00000000" w:rsidRPr="00000000" w14:paraId="0000000C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CARIcare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Собственная система телеметрии, разработанная для настройки и проверки всех параметров машины непосредственно с компьютера, ноутбука или планшета.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All in One Cleaning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Все операции по очистке кофемашины полностью автоматизированы. Оператору требуется всего несколько минут, чтобы начать автоматическую очистку всех систем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Капучинатор для бариста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Капучинатор с датчиком температуры для автоматического нагрева и вспенивания молока до желаемой температуры, идеально подходит для бариста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USB Соединение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Технология позволяет копировать и загружать параметры и настройки машины, а также настраивать графику пользовательского интерфейса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FridgePlus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Датчик перегрева и отсутствия молока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MaxSave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Запатентованная технология для максимального энергосбережения, обеспечения высокой производительности и снижения энергопотребления.</w:t>
      </w:r>
    </w:p>
    <w:p w:rsidR="00000000" w:rsidDel="00000000" w:rsidP="00000000" w:rsidRDefault="00000000" w:rsidRPr="00000000" w14:paraId="00000013">
      <w:pPr>
        <w:spacing w:after="180" w:line="280" w:lineRule="auto"/>
        <w:rPr>
          <w:rFonts w:ascii="Roboto" w:cs="Roboto" w:eastAsia="Roboto" w:hAnsi="Roboto"/>
          <w:color w:val="1c2d3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c2d3f"/>
          <w:sz w:val="36"/>
          <w:szCs w:val="36"/>
          <w:rtl w:val="0"/>
        </w:rPr>
        <w:t xml:space="preserve">ТЕХНИЧЕСКИЕ ХАРАКТЕРИСТИКИ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4769.205986656249"/>
        <w:gridCol w:w="4256.305824367374"/>
        <w:tblGridChange w:id="0">
          <w:tblGrid>
            <w:gridCol w:w="4769.205986656249"/>
            <w:gridCol w:w="4256.30582436737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290x808x576 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45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Пользовательский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10-дюймовый сенсорный дисплей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Расстояние от диспенсера до поддона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90-195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1,3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порошков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кофейного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Теплообменник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Паровой бойлер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10 ÷ 20 г (M - Brew XL)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Протокол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MDB, Executive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