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Roboto" w:cs="Roboto" w:eastAsia="Roboto" w:hAnsi="Roboto"/>
          <w:color w:val="9898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89898"/>
          <w:sz w:val="21"/>
          <w:szCs w:val="21"/>
          <w:rtl w:val="0"/>
        </w:rPr>
        <w:t xml:space="preserve">Цена: от 202000р.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color w:val="98989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989898"/>
          <w:sz w:val="21"/>
          <w:szCs w:val="21"/>
          <w:rtl w:val="0"/>
        </w:rPr>
        <w:t xml:space="preserve">Преимущества:</w:t>
      </w:r>
    </w:p>
    <w:p w:rsidR="00000000" w:rsidDel="00000000" w:rsidP="00000000" w:rsidRDefault="00000000" w:rsidRPr="00000000" w14:paraId="00000003">
      <w:pPr>
        <w:spacing w:before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Высокая производительность,Простота обслуживания,Удобный интерфейс,Доступная цена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PID-контроль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Термосифонная система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ТЕХНИЧЕСКАЯ ИНФОРМАЦИЯ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939.067314458033"/>
        <w:gridCol w:w="4086.4444965655894"/>
        <w:tblGridChange w:id="0">
          <w:tblGrid>
            <w:gridCol w:w="4939.067314458033"/>
            <w:gridCol w:w="4086.4444965655894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390х475х500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34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Число кнопок на группе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220-240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1800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LED-подсветка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Опционально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