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1.xml" ContentType="application/xml"/>
  <Override PartName="/customXml/item3.xml" ContentType="application/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trike/>
        </w:rPr>
      </w:pPr>
      <w:r>
        <w:rPr>
          <w:rFonts w:cs="Times New Roman" w:ascii="Times New Roman" w:hAnsi="Times New Roman"/>
          <w:strike/>
        </w:rPr>
        <w:t>Multiple Faculty Positions in Civil and Construction Engineering at Texas Tech</w:t>
      </w:r>
    </w:p>
    <w:p>
      <w:pPr>
        <w:pStyle w:val="Normal"/>
        <w:rPr>
          <w:rFonts w:ascii="Times New Roman" w:hAnsi="Times New Roman" w:cs="Times New Roman"/>
        </w:rPr>
      </w:pPr>
      <w:r>
        <w:rPr>
          <w:rFonts w:cs="Times New Roman" w:ascii="Times New Roman" w:hAnsi="Times New Roman"/>
        </w:rPr>
      </w:r>
    </w:p>
    <w:p>
      <w:pPr>
        <w:pStyle w:val="Default"/>
        <w:rPr>
          <w:color w:val="auto"/>
          <w:sz w:val="22"/>
          <w:szCs w:val="22"/>
        </w:rPr>
      </w:pPr>
      <w:r>
        <w:rPr>
          <w:b/>
          <w:bCs/>
          <w:color w:val="auto"/>
          <w:sz w:val="22"/>
          <w:szCs w:val="22"/>
        </w:rPr>
        <w:t>TEXAS TECH UNIVERSITY</w:t>
      </w:r>
      <w:r>
        <w:rPr>
          <w:color w:val="auto"/>
          <w:sz w:val="22"/>
          <w:szCs w:val="22"/>
        </w:rPr>
        <w:t xml:space="preserve"> -</w:t>
      </w:r>
      <w:r>
        <w:rPr>
          <w:strike/>
          <w:color w:val="auto"/>
          <w:sz w:val="22"/>
          <w:szCs w:val="22"/>
        </w:rPr>
        <w:t xml:space="preserve">The Civil, Environmental, and Construction Engineering (CECE) Department invites applications for multiple faculty positions. Individuals with the following expertise are invited to apply: </w:t>
      </w:r>
    </w:p>
    <w:p>
      <w:pPr>
        <w:pStyle w:val="Default"/>
        <w:rPr>
          <w:strike/>
          <w:color w:val="auto"/>
          <w:sz w:val="22"/>
          <w:szCs w:val="22"/>
        </w:rPr>
      </w:pPr>
      <w:r>
        <w:rPr>
          <w:strike/>
          <w:color w:val="auto"/>
          <w:sz w:val="22"/>
          <w:szCs w:val="22"/>
        </w:rPr>
      </w:r>
    </w:p>
    <w:p>
      <w:pPr>
        <w:pStyle w:val="Default"/>
        <w:rPr>
          <w:strike/>
        </w:rPr>
      </w:pPr>
      <w:r>
        <w:rPr>
          <w:strike/>
          <w:color w:val="auto"/>
          <w:sz w:val="22"/>
          <w:szCs w:val="22"/>
        </w:rPr>
        <w:t xml:space="preserve">a) smart and extreme materials; </w:t>
      </w:r>
    </w:p>
    <w:p>
      <w:pPr>
        <w:pStyle w:val="Default"/>
        <w:rPr>
          <w:strike/>
        </w:rPr>
      </w:pPr>
      <w:r>
        <w:rPr>
          <w:strike/>
          <w:color w:val="auto"/>
          <w:sz w:val="22"/>
          <w:szCs w:val="22"/>
        </w:rPr>
        <w:t xml:space="preserve">b) smart and deployable construction technologies; </w:t>
      </w:r>
    </w:p>
    <w:p>
      <w:pPr>
        <w:pStyle w:val="Default"/>
        <w:rPr>
          <w:strike/>
        </w:rPr>
      </w:pPr>
      <w:r>
        <w:rPr>
          <w:strike/>
          <w:color w:val="auto"/>
          <w:sz w:val="22"/>
          <w:szCs w:val="22"/>
        </w:rPr>
        <w:t xml:space="preserve">c) bioprincipic sensing; </w:t>
      </w:r>
    </w:p>
    <w:p>
      <w:pPr>
        <w:pStyle w:val="Default"/>
        <w:rPr>
          <w:strike/>
        </w:rPr>
      </w:pPr>
      <w:r>
        <w:rPr>
          <w:strike/>
          <w:color w:val="auto"/>
          <w:sz w:val="22"/>
          <w:szCs w:val="22"/>
        </w:rPr>
        <w:t xml:space="preserve">d) large-scale statistical learning; </w:t>
      </w:r>
    </w:p>
    <w:p>
      <w:pPr>
        <w:pStyle w:val="Default"/>
        <w:rPr>
          <w:strike/>
        </w:rPr>
      </w:pPr>
      <w:r>
        <w:rPr>
          <w:strike/>
          <w:color w:val="auto"/>
          <w:sz w:val="22"/>
          <w:szCs w:val="22"/>
        </w:rPr>
        <w:t xml:space="preserve">e) coupled physical-digital models; and </w:t>
      </w:r>
    </w:p>
    <w:p>
      <w:pPr>
        <w:pStyle w:val="Default"/>
        <w:rPr>
          <w:strike/>
        </w:rPr>
      </w:pPr>
      <w:r>
        <w:rPr>
          <w:strike/>
          <w:color w:val="auto"/>
          <w:sz w:val="22"/>
          <w:szCs w:val="22"/>
        </w:rPr>
        <w:t xml:space="preserve">f) mechanism design of infrastructure markets </w:t>
      </w:r>
    </w:p>
    <w:p>
      <w:pPr>
        <w:pStyle w:val="Default"/>
        <w:rPr>
          <w:strike/>
          <w:color w:val="auto"/>
          <w:sz w:val="22"/>
          <w:szCs w:val="22"/>
        </w:rPr>
      </w:pPr>
      <w:r>
        <w:rPr>
          <w:strike/>
          <w:color w:val="auto"/>
          <w:sz w:val="22"/>
          <w:szCs w:val="22"/>
        </w:rPr>
      </w:r>
    </w:p>
    <w:p>
      <w:pPr>
        <w:pStyle w:val="Default"/>
        <w:rPr>
          <w:strike/>
        </w:rPr>
      </w:pPr>
      <w:r>
        <w:rPr>
          <w:strike/>
          <w:color w:val="auto"/>
          <w:sz w:val="22"/>
          <w:szCs w:val="22"/>
        </w:rPr>
        <w:t xml:space="preserve">Candidates with demonstrated expertise in the inter- and trans-disciplinary address of two or more civil engineering domains (involving geotechnical, water, transportation and construction) in their published work and project research are strongly encouraged to apply. </w:t>
      </w:r>
    </w:p>
    <w:p>
      <w:pPr>
        <w:pStyle w:val="Default"/>
        <w:rPr>
          <w:color w:val="auto"/>
          <w:sz w:val="22"/>
          <w:szCs w:val="22"/>
        </w:rPr>
      </w:pPr>
      <w:r>
        <w:rPr/>
      </w:r>
    </w:p>
    <w:p>
      <w:pPr>
        <w:pStyle w:val="Normal"/>
        <w:rPr>
          <w:rFonts w:ascii="Arial" w:hAnsi="Arial"/>
          <w:i w:val="false"/>
          <w:i w:val="false"/>
          <w:iCs w:val="false"/>
          <w:color w:val="158466"/>
        </w:rPr>
      </w:pPr>
      <w:r>
        <w:rPr>
          <w:rFonts w:ascii="Arial" w:hAnsi="Arial"/>
          <w:b w:val="false"/>
          <w:i w:val="false"/>
          <w:iCs w:val="false"/>
          <w:color w:val="158466"/>
          <w:spacing w:val="0"/>
          <w:sz w:val="22"/>
          <w:szCs w:val="22"/>
        </w:rPr>
        <w:t xml:space="preserve">The </w:t>
      </w:r>
      <w:r>
        <w:rPr>
          <w:rFonts w:ascii="Arial" w:hAnsi="Arial"/>
          <w:b w:val="false"/>
          <w:i w:val="false"/>
          <w:iCs w:val="false"/>
          <w:color w:val="158466"/>
          <w:spacing w:val="0"/>
          <w:sz w:val="22"/>
          <w:szCs w:val="22"/>
        </w:rPr>
        <w:t xml:space="preserve">Civil, Environmental, and Construction Engineering (CECE) </w:t>
      </w:r>
      <w:r>
        <w:rPr>
          <w:rFonts w:ascii="Arial" w:hAnsi="Arial"/>
          <w:b w:val="false"/>
          <w:i w:val="false"/>
          <w:iCs w:val="false"/>
          <w:color w:val="158466"/>
          <w:spacing w:val="0"/>
          <w:sz w:val="22"/>
          <w:szCs w:val="22"/>
        </w:rPr>
        <w:t>Department</w:t>
      </w:r>
      <w:r>
        <w:rPr>
          <w:rFonts w:ascii="Arial" w:hAnsi="Arial"/>
          <w:b w:val="false"/>
          <w:i w:val="false"/>
          <w:iCs w:val="false"/>
          <w:color w:val="158466"/>
          <w:spacing w:val="0"/>
          <w:sz w:val="22"/>
          <w:szCs w:val="22"/>
        </w:rPr>
        <w:t xml:space="preserve"> at Texas Tech University invites applications for a tenure-track position in all areas of Water Resources. Emphasis is on applicants who will develop collaborative research within other areas (e.g., environmental, transportation, or soils).  This </w:t>
      </w:r>
      <w:r>
        <w:rPr>
          <w:rFonts w:ascii="Arial" w:hAnsi="Arial"/>
          <w:b w:val="false"/>
          <w:i w:val="false"/>
          <w:iCs w:val="false"/>
          <w:color w:val="158466"/>
          <w:spacing w:val="0"/>
          <w:sz w:val="22"/>
          <w:szCs w:val="22"/>
        </w:rPr>
        <w:t>research could</w:t>
      </w:r>
      <w:r>
        <w:rPr>
          <w:rFonts w:ascii="Arial" w:hAnsi="Arial"/>
          <w:b w:val="false"/>
          <w:i w:val="false"/>
          <w:iCs w:val="false"/>
          <w:color w:val="158466"/>
          <w:spacing w:val="0"/>
          <w:sz w:val="22"/>
          <w:szCs w:val="22"/>
        </w:rPr>
        <w:t xml:space="preserve"> include, but is not limited to, infrastructure resiliency, surface and ground water interactions, multicomponent reactive transport processes, water quality/quantity modeling, and relationships to climate. The successful candidate will teach undergraduate and graduate courses in Water Resources and other related areas.</w:t>
      </w:r>
    </w:p>
    <w:p>
      <w:pPr>
        <w:pStyle w:val="Default"/>
        <w:rPr>
          <w:color w:val="auto"/>
          <w:sz w:val="22"/>
          <w:szCs w:val="22"/>
        </w:rPr>
      </w:pPr>
      <w:r>
        <w:rPr>
          <w:color w:val="auto"/>
          <w:sz w:val="22"/>
          <w:szCs w:val="22"/>
        </w:rPr>
      </w:r>
    </w:p>
    <w:p>
      <w:pPr>
        <w:pStyle w:val="Default"/>
        <w:rPr>
          <w:rFonts w:ascii="Arial" w:hAnsi="Arial"/>
          <w:color w:val="55308D"/>
        </w:rPr>
      </w:pPr>
      <w:r>
        <w:rPr>
          <w:rFonts w:ascii="Arial" w:hAnsi="Arial"/>
          <w:color w:val="55308D"/>
          <w:sz w:val="22"/>
          <w:szCs w:val="22"/>
        </w:rPr>
        <w:t>The hire(s) will result in several tenure-track assistant professor appointments. Appointments at higher rank will be considered for exceptional candidates. The Whitacre College of Engineering has identified four major research thrust areas as part of the current strategic plan – namely, water, energy, smart infrastructure and engineering medicine, with nanotechnology and big data applications as cross-cutting themes. Candidates are expected to have demonstrated high-impact research in the areas described above. Evidence of high-quality teaching particularly in design applications is expected. The successful candidate(s) will have developed an externally-funded and internationally-recognized program of independent and collaborative research; will have a record of significant supervision of PhD students to graduation; will have taught undergraduate and graduate classes pertinent to the field of civil and construction engineering; will have held significant service roles in the profession; and will be expected to serve the Department, the Whitacre College of Engineering, and the University. Applicants must hold a doctoral degree in Civil Engineering or a closely related field at the time of appointment.  Texas Tech University is a Hispanic-Serving Institution (HSI).  Experience working with diverse student populations and first-generation students is highly desirable.</w:t>
      </w:r>
    </w:p>
    <w:p>
      <w:pPr>
        <w:pStyle w:val="Default"/>
        <w:rPr>
          <w:color w:val="auto"/>
          <w:sz w:val="22"/>
          <w:szCs w:val="22"/>
        </w:rPr>
      </w:pPr>
      <w:r>
        <w:rPr>
          <w:color w:val="auto"/>
          <w:sz w:val="22"/>
          <w:szCs w:val="22"/>
        </w:rPr>
      </w:r>
    </w:p>
    <w:p>
      <w:pPr>
        <w:pStyle w:val="Default"/>
        <w:rPr>
          <w:color w:val="auto"/>
          <w:sz w:val="22"/>
          <w:szCs w:val="22"/>
        </w:rPr>
      </w:pPr>
      <w:r>
        <w:rPr>
          <w:color w:val="auto"/>
          <w:sz w:val="22"/>
          <w:szCs w:val="22"/>
        </w:rPr>
        <w:t xml:space="preserve">The CECE Department is home to 32 tenure-track/tenured and research faculty, including two National Academy of Engineering (NAE) members. Nearly 25 percent of the faculty are women and minorities. Seven new faculty have been hired in the last three years. Department faculty’s research activity spans regional, national and international research. Department faculty have more than 12.5 million dollars in active grants, and secure grants at a high rate of yield with respect to submitted proposals. Citations of faculty’s published work have more than doubled in the same period, with a majority of faculty publications occurring with supervised students as lead authors in Tier-1 journals. Additional information about the department is available at </w:t>
      </w:r>
      <w:hyperlink r:id="rId2">
        <w:r>
          <w:rPr>
            <w:rStyle w:val="InternetLink"/>
            <w:sz w:val="22"/>
            <w:szCs w:val="22"/>
          </w:rPr>
          <w:t>www.depts.ttu.edu/ceweb/index.php</w:t>
        </w:r>
      </w:hyperlink>
      <w:r>
        <w:rPr>
          <w:sz w:val="22"/>
          <w:szCs w:val="22"/>
        </w:rPr>
        <w:t>.</w:t>
      </w:r>
      <w:r>
        <w:rPr>
          <w:color w:val="auto"/>
          <w:sz w:val="22"/>
          <w:szCs w:val="22"/>
        </w:rPr>
        <w:t>  The department awards bachelor’s degrees in Civil Engineering (BSCE) and Construction Engineering (BSConE), master’s and doctoral degrees in Civil Engineering, as well as a five-year professional Master of Environmental Engineering (MEnvE) degree. The department enrolls 420+ civil, construction and environmental engineering undergraduate majors; over 250 first-year and sophomore declared majors, and 150 graduate students with a 50-50 MS-PhD distributional split. The department conferred on average 150 undergraduate degrees, nearly 30 MS degrees and 10 PhD degrees in the period 2020-2022.</w:t>
      </w:r>
    </w:p>
    <w:p>
      <w:pPr>
        <w:pStyle w:val="Default"/>
        <w:rPr>
          <w:color w:val="auto"/>
          <w:sz w:val="22"/>
          <w:szCs w:val="22"/>
        </w:rPr>
      </w:pPr>
      <w:r>
        <w:rPr>
          <w:color w:val="auto"/>
          <w:sz w:val="22"/>
          <w:szCs w:val="22"/>
        </w:rPr>
      </w:r>
    </w:p>
    <w:p>
      <w:pPr>
        <w:pStyle w:val="Default"/>
        <w:rPr>
          <w:color w:val="auto"/>
          <w:sz w:val="22"/>
          <w:szCs w:val="22"/>
        </w:rPr>
      </w:pPr>
      <w:r>
        <w:rPr>
          <w:color w:val="auto"/>
          <w:sz w:val="22"/>
          <w:szCs w:val="22"/>
        </w:rPr>
        <w:t>Texas Tech University is a comprehensive university with 40,000-plus students enrolled in twelve schools and colleges across campus.  The Texas Tech University Health Sciences Center (TTUHSC) located across campus houses the school of biomedical sciences and the school of medicine, offering opportunities for research collaborations at the intersection of engineering and medicine. The CECE department is part of an inclusive community of scholars in the Whitacre College of Engineering that places high value on diversity as an enabler of inspirational, high-quality experiential education, synergies between undergraduate and graduate research, and transformative multidisciplinary collaborations.  Texas Tech University is among select public universities and colleges in the Carnegie Classification of Institutions of Higher Education's “Highest Research Activity” category.  The university is located in Lubbock, Texas.  The city is renowned for its friendly people, pleasant climate, and commitment to the University. In recent years, Lubbock has been ranked in the top quartile of US cities for socio-economic and demographic growth.</w:t>
      </w:r>
    </w:p>
    <w:p>
      <w:pPr>
        <w:pStyle w:val="Default"/>
        <w:rPr>
          <w:color w:val="auto"/>
          <w:sz w:val="22"/>
          <w:szCs w:val="22"/>
        </w:rPr>
      </w:pPr>
      <w:r>
        <w:rPr>
          <w:color w:val="auto"/>
          <w:sz w:val="22"/>
          <w:szCs w:val="22"/>
        </w:rPr>
      </w:r>
    </w:p>
    <w:p>
      <w:pPr>
        <w:pStyle w:val="Normal"/>
        <w:jc w:val="both"/>
        <w:rPr>
          <w:rFonts w:ascii="Arial" w:hAnsi="Arial"/>
          <w:color w:val="55308D"/>
        </w:rPr>
      </w:pPr>
      <w:r>
        <w:rPr>
          <w:rFonts w:cs="Times New Roman" w:ascii="Arial" w:hAnsi="Arial"/>
          <w:color w:val="55308D"/>
        </w:rPr>
        <w:t xml:space="preserve">Review of applications will commence immediately and will continue until the position is filled. Full consideration will be given to applications received by August 15, 2022. It is anticipated that the appointment will begin Fall 2023.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color w:val="000000" w:themeColor="text1"/>
          <w:u w:val="single"/>
        </w:rPr>
      </w:pPr>
      <w:r>
        <w:rPr>
          <w:rFonts w:cs="Times New Roman" w:ascii="Times New Roman" w:hAnsi="Times New Roman"/>
        </w:rPr>
        <w:t xml:space="preserve">Individuals interested in applying are requested to go to </w:t>
      </w:r>
      <w:hyperlink r:id="rId3">
        <w:r>
          <w:rPr>
            <w:rStyle w:val="InternetLink"/>
            <w:rFonts w:cs="Times New Roman" w:ascii="Times New Roman" w:hAnsi="Times New Roman"/>
          </w:rPr>
          <w:t>http://www.texastech.edu/careers/faculty-positions.php</w:t>
        </w:r>
      </w:hyperlink>
      <w:r>
        <w:rPr>
          <w:rFonts w:cs="Times New Roman" w:ascii="Times New Roman" w:hAnsi="Times New Roman"/>
        </w:rPr>
        <w:t xml:space="preserve">.  </w:t>
      </w:r>
      <w:r>
        <w:rPr>
          <w:rFonts w:cs="Times New Roman" w:ascii="Times New Roman" w:hAnsi="Times New Roman"/>
          <w:color w:val="000000" w:themeColor="text1"/>
        </w:rPr>
        <w:t xml:space="preserve">For Texas Tech University Faculty Positions please visit </w:t>
      </w:r>
      <w:r>
        <w:rPr>
          <w:rFonts w:cs="Times New Roman" w:ascii="Times New Roman" w:hAnsi="Times New Roman"/>
          <w:color w:val="000000" w:themeColor="text1"/>
          <w:u w:val="single"/>
        </w:rPr>
        <w:t xml:space="preserve">Work at Texas Tech. </w:t>
      </w:r>
    </w:p>
    <w:p>
      <w:pPr>
        <w:pStyle w:val="Normal"/>
        <w:jc w:val="both"/>
        <w:rPr>
          <w:rFonts w:ascii="Times New Roman" w:hAnsi="Times New Roman" w:cs="Times New Roman"/>
          <w:color w:val="000000" w:themeColor="text1"/>
          <w:u w:val="single"/>
        </w:rPr>
      </w:pPr>
      <w:r>
        <w:rPr>
          <w:rFonts w:cs="Times New Roman" w:ascii="Times New Roman" w:hAnsi="Times New Roman"/>
          <w:color w:val="000000" w:themeColor="text1"/>
          <w:u w:val="single"/>
        </w:rPr>
      </w:r>
    </w:p>
    <w:p>
      <w:pPr>
        <w:pStyle w:val="Normal"/>
        <w:jc w:val="both"/>
        <w:rPr>
          <w:rFonts w:ascii="Times New Roman" w:hAnsi="Times New Roman" w:cs="Times New Roman"/>
        </w:rPr>
      </w:pPr>
      <w:r>
        <w:rPr>
          <w:rFonts w:cs="Times New Roman" w:ascii="Times New Roman" w:hAnsi="Times New Roman"/>
          <w:color w:val="000000" w:themeColor="text1"/>
        </w:rPr>
        <w:t>Candidates wishing to apply for the smart and extreme materials/smart and deployable construction technologies position are invited to apply to</w:t>
      </w:r>
      <w:r>
        <w:rPr>
          <w:rFonts w:cs="Times New Roman" w:ascii="Times New Roman" w:hAnsi="Times New Roman"/>
        </w:rPr>
        <w:t xml:space="preserve"> Requisition ID 29389BR.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color w:val="000000" w:themeColor="text1"/>
        </w:rPr>
        <w:t>Candidates wishing to apply for the bioprincipic sensing position are invited to apply to</w:t>
      </w:r>
      <w:r>
        <w:rPr>
          <w:rFonts w:cs="Times New Roman" w:ascii="Times New Roman" w:hAnsi="Times New Roman"/>
        </w:rPr>
        <w:t xml:space="preserve"> Requisition ID 29392BR.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color w:val="000000" w:themeColor="text1"/>
        </w:rPr>
        <w:t>Candidates wishing to apply for the large scale statistical learning position are invited to apply to</w:t>
      </w:r>
      <w:r>
        <w:rPr>
          <w:rFonts w:cs="Times New Roman" w:ascii="Times New Roman" w:hAnsi="Times New Roman"/>
        </w:rPr>
        <w:t xml:space="preserve"> Requisition ID 29391BR.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color w:val="000000" w:themeColor="text1"/>
        </w:rPr>
        <w:t>Candidates wishing to apply for the coupled physical-digital models position are invited to apply to</w:t>
      </w:r>
      <w:r>
        <w:rPr>
          <w:rFonts w:cs="Times New Roman" w:ascii="Times New Roman" w:hAnsi="Times New Roman"/>
        </w:rPr>
        <w:t xml:space="preserve"> Requisition ID 29388BR.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color w:val="000000" w:themeColor="text1"/>
        </w:rPr>
        <w:t>Candidates wishing to apply for mechanism design of infrastructure markets position are invited to apply to</w:t>
      </w:r>
      <w:r>
        <w:rPr>
          <w:rFonts w:cs="Times New Roman" w:ascii="Times New Roman" w:hAnsi="Times New Roman"/>
        </w:rPr>
        <w:t xml:space="preserve"> Requisition ID 29390BR.</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 xml:space="preserve">Please upload (preferably in PDF format) [1] a cover letter, [2] detailed curriculum vita, [3] a statement of research interests, [4] a statement of teaching interests, and [5] other documents (as requested on the application website) including the names, physical and email addresses, and telephone numbers of three references. </w:t>
      </w:r>
    </w:p>
    <w:p>
      <w:pPr>
        <w:pStyle w:val="Default"/>
        <w:rPr>
          <w:color w:val="auto"/>
          <w:sz w:val="22"/>
          <w:szCs w:val="22"/>
        </w:rPr>
      </w:pPr>
      <w:r>
        <w:rPr>
          <w:color w:val="auto"/>
          <w:sz w:val="22"/>
          <w:szCs w:val="22"/>
        </w:rPr>
      </w:r>
    </w:p>
    <w:p>
      <w:pPr>
        <w:pStyle w:val="Default"/>
        <w:rPr>
          <w:rFonts w:ascii="Arial" w:hAnsi="Arial"/>
        </w:rPr>
      </w:pPr>
      <w:r>
        <w:rPr>
          <w:rFonts w:ascii="Arial" w:hAnsi="Arial"/>
          <w:color w:val="55308D"/>
          <w:sz w:val="22"/>
          <w:szCs w:val="22"/>
        </w:rPr>
        <w:t xml:space="preserve">As an Equal Employment Opportunity/Affirmative Action employer, Texas Tech University is dedicated to the goal of building a culturally-diverse faculty committed to teaching and working in a multicultural environment. We actively encourage applications from all those who can contribute, through their research, teaching, and/or service, to the diversity and excellence of the academic community at Texas Tech University. The university welcomes applications from minoritized candidates, women, veterans, persons with disabilities, and dual-career couples. </w:t>
      </w:r>
      <w:r>
        <w:rPr>
          <w:rFonts w:ascii="Arial" w:hAnsi="Arial"/>
          <w:color w:val="auto"/>
          <w:sz w:val="22"/>
          <w:szCs w:val="22"/>
        </w:rPr>
        <w:t xml:space="preserve"> </w:t>
      </w:r>
    </w:p>
    <w:p>
      <w:pPr>
        <w:pStyle w:val="Normal"/>
        <w:rPr>
          <w:rFonts w:ascii="Arial" w:hAnsi="Arial"/>
        </w:rPr>
      </w:pPr>
      <w:r>
        <w:rPr>
          <w:rFonts w:ascii="Arial" w:hAnsi="Arial"/>
        </w:rPr>
      </w:r>
    </w:p>
    <w:p>
      <w:pPr>
        <w:pStyle w:val="Normal"/>
        <w:rPr>
          <w:rFonts w:ascii="Arial" w:hAnsi="Arial"/>
          <w:color w:val="55308D"/>
        </w:rPr>
      </w:pPr>
      <w:r>
        <w:rPr>
          <w:rFonts w:cs="Times New Roman" w:ascii="Arial" w:hAnsi="Arial"/>
          <w:color w:val="55308D"/>
        </w:rPr>
        <w:t>For further inquiry about the positions, direct your questions to Dr. Venky Shankar, Department Chair of CECE, by email at venky.shankar@ttu.edu.</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1b0a"/>
    <w:pPr>
      <w:widowControl/>
      <w:bidi w:val="0"/>
      <w:spacing w:lineRule="auto" w:line="240" w:before="0" w:after="0"/>
      <w:jc w:val="left"/>
    </w:pPr>
    <w:rPr>
      <w:rFonts w:ascii="Calibri" w:hAnsi="Calibri" w:cs="Calibri" w:eastAsia="Calibri" w:asciiTheme="minorHAns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31b0a"/>
    <w:rPr>
      <w:color w:val="0563C1"/>
      <w:u w:val="single"/>
    </w:rPr>
  </w:style>
  <w:style w:type="character" w:styleId="UnresolvedMention">
    <w:name w:val="Unresolved Mention"/>
    <w:basedOn w:val="DefaultParagraphFont"/>
    <w:uiPriority w:val="99"/>
    <w:semiHidden/>
    <w:unhideWhenUsed/>
    <w:qFormat/>
    <w:rsid w:val="00514e79"/>
    <w:rPr>
      <w:color w:val="605E5C"/>
      <w:shd w:fill="E1DFDD" w:val="clear"/>
    </w:rPr>
  </w:style>
  <w:style w:type="character" w:styleId="Annotationreference">
    <w:name w:val="annotation reference"/>
    <w:basedOn w:val="DefaultParagraphFont"/>
    <w:uiPriority w:val="99"/>
    <w:semiHidden/>
    <w:unhideWhenUsed/>
    <w:qFormat/>
    <w:rsid w:val="004e3e69"/>
    <w:rPr>
      <w:sz w:val="16"/>
      <w:szCs w:val="16"/>
    </w:rPr>
  </w:style>
  <w:style w:type="character" w:styleId="CommentTextChar" w:customStyle="1">
    <w:name w:val="Comment Text Char"/>
    <w:basedOn w:val="DefaultParagraphFont"/>
    <w:link w:val="Annotationtext"/>
    <w:uiPriority w:val="99"/>
    <w:qFormat/>
    <w:rsid w:val="004e3e69"/>
    <w:rPr>
      <w:rFonts w:ascii="Calibri" w:hAnsi="Calibri" w:cs="Calibri"/>
      <w:sz w:val="20"/>
      <w:szCs w:val="20"/>
    </w:rPr>
  </w:style>
  <w:style w:type="character" w:styleId="CommentSubjectChar" w:customStyle="1">
    <w:name w:val="Comment Subject Char"/>
    <w:basedOn w:val="CommentTextChar"/>
    <w:link w:val="Annotationsubject"/>
    <w:uiPriority w:val="99"/>
    <w:semiHidden/>
    <w:qFormat/>
    <w:rsid w:val="004e3e69"/>
    <w:rPr>
      <w:rFonts w:ascii="Calibri" w:hAnsi="Calibri" w:cs="Calibri"/>
      <w:b/>
      <w:bCs/>
      <w:sz w:val="20"/>
      <w:szCs w:val="20"/>
    </w:rPr>
  </w:style>
  <w:style w:type="character" w:styleId="BalloonTextChar" w:customStyle="1">
    <w:name w:val="Balloon Text Char"/>
    <w:basedOn w:val="DefaultParagraphFont"/>
    <w:link w:val="BalloonText"/>
    <w:uiPriority w:val="99"/>
    <w:semiHidden/>
    <w:qFormat/>
    <w:rsid w:val="004a55f8"/>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Default" w:customStyle="1">
    <w:name w:val="Default"/>
    <w:basedOn w:val="Normal"/>
    <w:qFormat/>
    <w:rsid w:val="00531b0a"/>
    <w:pPr/>
    <w:rPr>
      <w:rFonts w:ascii="Times New Roman" w:hAnsi="Times New Roman" w:cs="Times New Roman"/>
      <w:color w:val="000000"/>
      <w:sz w:val="24"/>
      <w:szCs w:val="24"/>
    </w:rPr>
  </w:style>
  <w:style w:type="paragraph" w:styleId="Annotationtext">
    <w:name w:val="annotation text"/>
    <w:basedOn w:val="Normal"/>
    <w:link w:val="CommentTextChar"/>
    <w:uiPriority w:val="99"/>
    <w:unhideWhenUsed/>
    <w:qFormat/>
    <w:rsid w:val="004e3e69"/>
    <w:pPr/>
    <w:rPr>
      <w:sz w:val="20"/>
      <w:szCs w:val="20"/>
    </w:rPr>
  </w:style>
  <w:style w:type="paragraph" w:styleId="Annotationsubject">
    <w:name w:val="annotation subject"/>
    <w:basedOn w:val="Annotationtext"/>
    <w:next w:val="Annotationtext"/>
    <w:link w:val="CommentSubjectChar"/>
    <w:uiPriority w:val="99"/>
    <w:semiHidden/>
    <w:unhideWhenUsed/>
    <w:qFormat/>
    <w:rsid w:val="004e3e69"/>
    <w:pPr/>
    <w:rPr>
      <w:b/>
      <w:bCs/>
    </w:rPr>
  </w:style>
  <w:style w:type="paragraph" w:styleId="BalloonText">
    <w:name w:val="Balloon Text"/>
    <w:basedOn w:val="Normal"/>
    <w:link w:val="BalloonTextChar"/>
    <w:uiPriority w:val="99"/>
    <w:semiHidden/>
    <w:unhideWhenUsed/>
    <w:qFormat/>
    <w:rsid w:val="004a55f8"/>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epts.ttu.edu/ceweb/index.php" TargetMode="External"/><Relationship Id="rId3" Type="http://schemas.openxmlformats.org/officeDocument/2006/relationships/hyperlink" Target="http://www.texastech.edu/careers/faculty-positions.php"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AA48C2DC9C5341A6957FD7E991A50F" ma:contentTypeVersion="13" ma:contentTypeDescription="Create a new document." ma:contentTypeScope="" ma:versionID="79d7d829ba6a236465cab2de6dbb5f95">
  <xsd:schema xmlns:xsd="http://www.w3.org/2001/XMLSchema" xmlns:xs="http://www.w3.org/2001/XMLSchema" xmlns:p="http://schemas.microsoft.com/office/2006/metadata/properties" xmlns:ns3="d9d216d7-e9a6-4a3a-ba5c-83cbcb072594" xmlns:ns4="307fcebf-552b-486f-a635-3a9d2ef26236" targetNamespace="http://schemas.microsoft.com/office/2006/metadata/properties" ma:root="true" ma:fieldsID="e8a280cba5035f6578a929aa7c5aa716" ns3:_="" ns4:_="">
    <xsd:import namespace="d9d216d7-e9a6-4a3a-ba5c-83cbcb072594"/>
    <xsd:import namespace="307fcebf-552b-486f-a635-3a9d2ef2623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d216d7-e9a6-4a3a-ba5c-83cbcb072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7fcebf-552b-486f-a635-3a9d2ef2623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9871A7-989F-4FF6-9550-620661B4FB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d216d7-e9a6-4a3a-ba5c-83cbcb072594"/>
    <ds:schemaRef ds:uri="307fcebf-552b-486f-a635-3a9d2ef262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000344-C2E3-4793-AC9A-09F0EA61F0CB}">
  <ds:schemaRefs>
    <ds:schemaRef ds:uri="http://schemas.microsoft.com/sharepoint/v3/contenttype/forms"/>
  </ds:schemaRefs>
</ds:datastoreItem>
</file>

<file path=customXml/itemProps3.xml><?xml version="1.0" encoding="utf-8"?>
<ds:datastoreItem xmlns:ds="http://schemas.openxmlformats.org/officeDocument/2006/customXml" ds:itemID="{6C272634-430B-4666-B69B-990B33C3F3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341</TotalTime>
  <Application>LibreOffice/7.3.1.3$MacOSX_X86_64 LibreOffice_project/a69ca51ded25f3eefd52d7bf9a5fad8c90b87951</Application>
  <AppVersion>15.0000</AppVersion>
  <Pages>3</Pages>
  <Words>1019</Words>
  <Characters>6457</Characters>
  <CharactersWithSpaces>7480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2022-06-28T21:45:00Z</dcterms:created>
  <dc:creator>Shankar, Venky</dc:creator>
  <dc:description/>
  <dc:language>en-US</dc:language>
  <cp:lastModifiedBy/>
  <cp:lastPrinted>2022-06-28T20:32:00Z</cp:lastPrinted>
  <dcterms:modified xsi:type="dcterms:W3CDTF">2022-10-12T11:02:14Z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0x010100D7AA48C2DC9C5341A6957FD7E991A50F</vt:lpwstr>
  </property>
</Properties>
</file>