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901F" w14:textId="77777777" w:rsidR="00B629AE" w:rsidRDefault="00B629AE" w:rsidP="00B629AE">
      <w:r>
        <w:t>Chat rekenmethode adequate woningvoorraad en basisinkomen</w:t>
      </w:r>
    </w:p>
    <w:p w14:paraId="0255F266" w14:textId="77777777" w:rsidR="00B629AE" w:rsidRDefault="00B629AE" w:rsidP="00B629AE"/>
    <w:p w14:paraId="721549DF" w14:textId="78783D8E" w:rsidR="00B629AE" w:rsidRDefault="00B629AE" w:rsidP="00B629AE">
      <w:r>
        <w:t>11092026 bijlagen werkbladen</w:t>
      </w:r>
    </w:p>
    <w:p w14:paraId="2DBFC046" w14:textId="6D58CA4E" w:rsidR="00B629AE" w:rsidRPr="00B629AE" w:rsidRDefault="00B629AE" w:rsidP="00B629AE">
      <w:r w:rsidRPr="00B629AE">
        <w:t xml:space="preserve">Ik zit nog even verder te denken. Kunnen we ook een formule bedenken voor adequate woningvoorraad en basisinkomen? Dat begrijpen economen misschien beter. Laten we opnieuw een rekenmethode ontwikkelen. </w:t>
      </w:r>
    </w:p>
    <w:p w14:paraId="30400463" w14:textId="77777777" w:rsidR="00B629AE" w:rsidRPr="00B629AE" w:rsidRDefault="00B629AE" w:rsidP="00B629AE">
      <w:r w:rsidRPr="00B629AE">
        <w:t>Ja. Ik stel voor om nu af te stappen van zelfbedachte rapportcijfers als hoofdmethode. We kunnen rekenen in eenheden die economen direct herkennen:</w:t>
      </w:r>
    </w:p>
    <w:p w14:paraId="22F52455" w14:textId="77777777" w:rsidR="00B629AE" w:rsidRPr="00B629AE" w:rsidRDefault="00B629AE" w:rsidP="00B629AE">
      <w:pPr>
        <w:numPr>
          <w:ilvl w:val="0"/>
          <w:numId w:val="1"/>
        </w:numPr>
      </w:pPr>
      <w:r w:rsidRPr="00B629AE">
        <w:t xml:space="preserve">woningen en huishoudens; </w:t>
      </w:r>
    </w:p>
    <w:p w14:paraId="317F869B" w14:textId="77777777" w:rsidR="00B629AE" w:rsidRPr="00B629AE" w:rsidRDefault="00B629AE" w:rsidP="00B629AE">
      <w:pPr>
        <w:numPr>
          <w:ilvl w:val="0"/>
          <w:numId w:val="1"/>
        </w:numPr>
      </w:pPr>
      <w:r w:rsidRPr="00B629AE">
        <w:t xml:space="preserve">euro’s per maand; </w:t>
      </w:r>
    </w:p>
    <w:p w14:paraId="045BA4DB" w14:textId="77777777" w:rsidR="00B629AE" w:rsidRPr="00B629AE" w:rsidRDefault="00B629AE" w:rsidP="00B629AE">
      <w:pPr>
        <w:numPr>
          <w:ilvl w:val="0"/>
          <w:numId w:val="1"/>
        </w:numPr>
      </w:pPr>
      <w:r w:rsidRPr="00B629AE">
        <w:t xml:space="preserve">procentuele dekking; </w:t>
      </w:r>
    </w:p>
    <w:p w14:paraId="4AD0100B" w14:textId="77777777" w:rsidR="00B629AE" w:rsidRPr="00B629AE" w:rsidRDefault="00B629AE" w:rsidP="00B629AE">
      <w:pPr>
        <w:numPr>
          <w:ilvl w:val="0"/>
          <w:numId w:val="1"/>
        </w:numPr>
      </w:pPr>
      <w:r w:rsidRPr="00B629AE">
        <w:t xml:space="preserve">resterend tekort; </w:t>
      </w:r>
    </w:p>
    <w:p w14:paraId="2B044F76" w14:textId="77777777" w:rsidR="00B629AE" w:rsidRPr="00B629AE" w:rsidRDefault="00B629AE" w:rsidP="00B629AE">
      <w:pPr>
        <w:numPr>
          <w:ilvl w:val="0"/>
          <w:numId w:val="1"/>
        </w:numPr>
      </w:pPr>
      <w:r w:rsidRPr="00B629AE">
        <w:t xml:space="preserve">jaarlijkse overheidskosten. </w:t>
      </w:r>
    </w:p>
    <w:p w14:paraId="5F69370F" w14:textId="77777777" w:rsidR="00B629AE" w:rsidRPr="00B629AE" w:rsidRDefault="00B629AE" w:rsidP="00B629AE">
      <w:r w:rsidRPr="00B629AE">
        <w:t>Daarbij is één onderscheid belangrijk:</w:t>
      </w:r>
    </w:p>
    <w:p w14:paraId="62722871" w14:textId="77777777" w:rsidR="00B629AE" w:rsidRPr="00B629AE" w:rsidRDefault="00B629AE" w:rsidP="00B629AE">
      <w:r w:rsidRPr="00B629AE">
        <w:rPr>
          <w:b/>
          <w:bCs/>
        </w:rPr>
        <w:t>Een adequate woningvoorraad is een maatschappelijk resultaat. Een basisinkomen is een instrument waarmee we bestaanszekerheid en betaalbaarheid proberen te bereiken.</w:t>
      </w:r>
    </w:p>
    <w:p w14:paraId="508669C4" w14:textId="77777777" w:rsidR="00B629AE" w:rsidRPr="00B629AE" w:rsidRDefault="00B629AE" w:rsidP="00B629AE">
      <w:pPr>
        <w:rPr>
          <w:b/>
          <w:bCs/>
        </w:rPr>
      </w:pPr>
      <w:r w:rsidRPr="00B629AE">
        <w:rPr>
          <w:b/>
          <w:bCs/>
        </w:rPr>
        <w:t>1. Adequate woningvoorraad</w:t>
      </w:r>
    </w:p>
    <w:p w14:paraId="4F946190" w14:textId="77777777" w:rsidR="00B629AE" w:rsidRPr="00B629AE" w:rsidRDefault="00B629AE" w:rsidP="00B629AE">
      <w:r w:rsidRPr="00B629AE">
        <w:t>Een woning telt niet automatisch mee omdat zij fysiek bestaat. Zij telt pas mee wanneer zij voor een bepaald huishouden:</w:t>
      </w:r>
    </w:p>
    <w:p w14:paraId="0A6FB798" w14:textId="77777777" w:rsidR="00B629AE" w:rsidRPr="00B629AE" w:rsidRDefault="00B629AE" w:rsidP="00B629AE">
      <w:pPr>
        <w:numPr>
          <w:ilvl w:val="0"/>
          <w:numId w:val="2"/>
        </w:numPr>
      </w:pPr>
      <w:r w:rsidRPr="00B629AE">
        <w:t xml:space="preserve">werkelijk beschikbaar is; </w:t>
      </w:r>
    </w:p>
    <w:p w14:paraId="7AE2F35E" w14:textId="77777777" w:rsidR="00B629AE" w:rsidRPr="00B629AE" w:rsidRDefault="00B629AE" w:rsidP="00B629AE">
      <w:pPr>
        <w:numPr>
          <w:ilvl w:val="0"/>
          <w:numId w:val="2"/>
        </w:numPr>
      </w:pPr>
      <w:r w:rsidRPr="00B629AE">
        <w:t xml:space="preserve">betaalbaar is; </w:t>
      </w:r>
    </w:p>
    <w:p w14:paraId="6F9F6358" w14:textId="77777777" w:rsidR="00B629AE" w:rsidRPr="00B629AE" w:rsidRDefault="00B629AE" w:rsidP="00B629AE">
      <w:pPr>
        <w:numPr>
          <w:ilvl w:val="0"/>
          <w:numId w:val="2"/>
        </w:numPr>
      </w:pPr>
      <w:r w:rsidRPr="00B629AE">
        <w:t xml:space="preserve">qua grootte en toegankelijkheid past; </w:t>
      </w:r>
    </w:p>
    <w:p w14:paraId="50B30D18" w14:textId="77777777" w:rsidR="00B629AE" w:rsidRPr="00B629AE" w:rsidRDefault="00B629AE" w:rsidP="00B629AE">
      <w:pPr>
        <w:numPr>
          <w:ilvl w:val="0"/>
          <w:numId w:val="2"/>
        </w:numPr>
      </w:pPr>
      <w:r w:rsidRPr="00B629AE">
        <w:t xml:space="preserve">gezond, veilig en bruikbaar is; </w:t>
      </w:r>
    </w:p>
    <w:p w14:paraId="000A41BE" w14:textId="77777777" w:rsidR="00B629AE" w:rsidRPr="00B629AE" w:rsidRDefault="00B629AE" w:rsidP="00B629AE">
      <w:pPr>
        <w:numPr>
          <w:ilvl w:val="0"/>
          <w:numId w:val="2"/>
        </w:numPr>
      </w:pPr>
      <w:r w:rsidRPr="00B629AE">
        <w:t xml:space="preserve">op een bruikbare locatie ligt; </w:t>
      </w:r>
    </w:p>
    <w:p w14:paraId="2488B858" w14:textId="77777777" w:rsidR="00B629AE" w:rsidRPr="00B629AE" w:rsidRDefault="00B629AE" w:rsidP="00B629AE">
      <w:pPr>
        <w:numPr>
          <w:ilvl w:val="0"/>
          <w:numId w:val="2"/>
        </w:numPr>
      </w:pPr>
      <w:r w:rsidRPr="00B629AE">
        <w:t xml:space="preserve">voldoende woonzekerheid biedt. </w:t>
      </w:r>
    </w:p>
    <w:p w14:paraId="2C14C2CA" w14:textId="77777777" w:rsidR="00B629AE" w:rsidRPr="00B629AE" w:rsidRDefault="00B629AE" w:rsidP="00B629AE">
      <w:r w:rsidRPr="00B629AE">
        <w:t xml:space="preserve">Dat sluit aan bij de internationale definitie van adequate huisvesting van de VN, waarin onder andere betaalbaarheid, bewoonbaarheid, toegankelijkheid, locatie en woonzekerheid voorkomen. </w:t>
      </w:r>
      <w:hyperlink r:id="rId5" w:tgtFrame="_new" w:history="1">
        <w:r w:rsidRPr="00B629AE">
          <w:rPr>
            <w:rStyle w:val="Hyperlink"/>
          </w:rPr>
          <w:t>OHCHR – The human right to adequate housing</w:t>
        </w:r>
      </w:hyperlink>
    </w:p>
    <w:p w14:paraId="3381970D" w14:textId="77777777" w:rsidR="00B629AE" w:rsidRPr="00B629AE" w:rsidRDefault="00B629AE" w:rsidP="00B629AE">
      <w:pPr>
        <w:rPr>
          <w:b/>
          <w:bCs/>
        </w:rPr>
      </w:pPr>
      <w:r w:rsidRPr="00B629AE">
        <w:rPr>
          <w:b/>
          <w:bCs/>
        </w:rPr>
        <w:t>De hoofdformule</w:t>
      </w:r>
    </w:p>
    <w:p w14:paraId="0D8C9522" w14:textId="7C30A87A" w:rsidR="00B629AE" w:rsidRPr="00B629AE" w:rsidRDefault="00B629AE" w:rsidP="00B629AE">
      <w:r w:rsidRPr="00B629AE">
        <w:t xml:space="preserve">Verdeel huishoudens in groepen </w:t>
      </w:r>
      <m:oMath>
        <m:r>
          <w:rPr>
            <w:rFonts w:ascii="Cambria Math" w:hAnsi="Cambria Math"/>
          </w:rPr>
          <m:t>g</m:t>
        </m:r>
      </m:oMath>
      <w:r w:rsidRPr="00B629AE">
        <w:t>, bijvoorbeeld naar regio, huishoudgrootte, inkomen en toegankelijkheidsbehoefte.</w:t>
      </w:r>
    </w:p>
    <w:p w14:paraId="6541F0CC" w14:textId="71EAE0A1" w:rsidR="00B629AE" w:rsidRPr="00B629AE" w:rsidRDefault="00000000" w:rsidP="00B629AE">
      <m:oMathPara>
        <m:oMath>
          <m:borderBox>
            <m:borderBoxPr>
              <m:ctrlPr>
                <w:rPr>
                  <w:rFonts w:ascii="Cambria Math" w:hAnsi="Cambria Math"/>
                </w:rPr>
              </m:ctrlPr>
            </m:borderBoxPr>
            <m:e>
              <m:r>
                <w:rPr>
                  <w:rFonts w:ascii="Cambria Math" w:hAnsi="Cambria Math"/>
                </w:rPr>
                <m:t>AW=100×</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g</m:t>
                      </m:r>
                    </m:sub>
                    <m:sup/>
                    <m:e>
                      <m:sSub>
                        <m:sSubPr>
                          <m:ctrlPr>
                            <w:rPr>
                              <w:rFonts w:ascii="Cambria Math" w:hAnsi="Cambria Math"/>
                            </w:rPr>
                          </m:ctrlPr>
                        </m:sSubPr>
                        <m:e>
                          <m:r>
                            <w:rPr>
                              <w:rFonts w:ascii="Cambria Math" w:hAnsi="Cambria Math"/>
                            </w:rPr>
                            <m:t>M</m:t>
                          </m:r>
                        </m:e>
                        <m:sub>
                          <m:r>
                            <w:rPr>
                              <w:rFonts w:ascii="Cambria Math" w:hAnsi="Cambria Math"/>
                            </w:rPr>
                            <m:t>g</m:t>
                          </m:r>
                        </m:sub>
                      </m:sSub>
                    </m:e>
                  </m:nary>
                </m:num>
                <m:den>
                  <m:nary>
                    <m:naryPr>
                      <m:chr m:val="∑"/>
                      <m:limLoc m:val="undOvr"/>
                      <m:grow m:val="1"/>
                      <m:supHide m:val="1"/>
                      <m:ctrlPr>
                        <w:rPr>
                          <w:rFonts w:ascii="Cambria Math" w:hAnsi="Cambria Math"/>
                        </w:rPr>
                      </m:ctrlPr>
                    </m:naryPr>
                    <m:sub>
                      <m:r>
                        <w:rPr>
                          <w:rFonts w:ascii="Cambria Math" w:hAnsi="Cambria Math"/>
                        </w:rPr>
                        <m:t>g</m:t>
                      </m:r>
                    </m:sub>
                    <m:sup/>
                    <m:e>
                      <m:sSub>
                        <m:sSubPr>
                          <m:ctrlPr>
                            <w:rPr>
                              <w:rFonts w:ascii="Cambria Math" w:hAnsi="Cambria Math"/>
                            </w:rPr>
                          </m:ctrlPr>
                        </m:sSubPr>
                        <m:e>
                          <m:r>
                            <w:rPr>
                              <w:rFonts w:ascii="Cambria Math" w:hAnsi="Cambria Math"/>
                            </w:rPr>
                            <m:t>D</m:t>
                          </m:r>
                        </m:e>
                        <m:sub>
                          <m:r>
                            <w:rPr>
                              <w:rFonts w:ascii="Cambria Math" w:hAnsi="Cambria Math"/>
                            </w:rPr>
                            <m:t>g</m:t>
                          </m:r>
                        </m:sub>
                      </m:sSub>
                    </m:e>
                  </m:nary>
                </m:den>
              </m:f>
            </m:e>
          </m:borderBox>
          <m:r>
            <m:rPr>
              <m:sty m:val="p"/>
            </m:rPr>
            <w:br/>
          </m:r>
        </m:oMath>
      </m:oMathPara>
    </w:p>
    <w:p w14:paraId="2DBFABD6" w14:textId="77777777" w:rsidR="00B629AE" w:rsidRPr="00B629AE" w:rsidRDefault="00B629AE" w:rsidP="00B629AE">
      <w:r w:rsidRPr="00B629AE">
        <w:t>Waarbij: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8132"/>
      </w:tblGrid>
      <w:tr w:rsidR="00B629AE" w:rsidRPr="00B629AE" w14:paraId="153C8A56" w14:textId="77777777">
        <w:trPr>
          <w:tblHeader/>
          <w:tblCellSpacing w:w="15" w:type="dxa"/>
        </w:trPr>
        <w:tc>
          <w:tcPr>
            <w:tcW w:w="0" w:type="auto"/>
            <w:vAlign w:val="center"/>
            <w:hideMark/>
          </w:tcPr>
          <w:p w14:paraId="2D2FEF89" w14:textId="77777777" w:rsidR="00B629AE" w:rsidRPr="00B629AE" w:rsidRDefault="00B629AE" w:rsidP="00B629AE">
            <w:pPr>
              <w:rPr>
                <w:b/>
                <w:bCs/>
              </w:rPr>
            </w:pPr>
            <w:r w:rsidRPr="00B629AE">
              <w:rPr>
                <w:b/>
                <w:bCs/>
              </w:rPr>
              <w:t>Symbool</w:t>
            </w:r>
          </w:p>
        </w:tc>
        <w:tc>
          <w:tcPr>
            <w:tcW w:w="0" w:type="auto"/>
            <w:vAlign w:val="center"/>
            <w:hideMark/>
          </w:tcPr>
          <w:p w14:paraId="2305167D" w14:textId="77777777" w:rsidR="00B629AE" w:rsidRPr="00B629AE" w:rsidRDefault="00B629AE" w:rsidP="00B629AE">
            <w:pPr>
              <w:rPr>
                <w:b/>
                <w:bCs/>
              </w:rPr>
            </w:pPr>
            <w:r w:rsidRPr="00B629AE">
              <w:rPr>
                <w:b/>
                <w:bCs/>
              </w:rPr>
              <w:t>Betekenis</w:t>
            </w:r>
          </w:p>
        </w:tc>
      </w:tr>
      <w:tr w:rsidR="00B629AE" w:rsidRPr="00B629AE" w14:paraId="68ACD3B8" w14:textId="77777777">
        <w:trPr>
          <w:tblCellSpacing w:w="15" w:type="dxa"/>
        </w:trPr>
        <w:tc>
          <w:tcPr>
            <w:tcW w:w="0" w:type="auto"/>
            <w:vAlign w:val="center"/>
            <w:hideMark/>
          </w:tcPr>
          <w:p w14:paraId="4E93BF50" w14:textId="7344D703" w:rsidR="00B629AE" w:rsidRPr="00B629AE" w:rsidRDefault="00B629AE" w:rsidP="00B629AE">
            <m:oMathPara>
              <m:oMath>
                <m:r>
                  <w:rPr>
                    <w:rFonts w:ascii="Cambria Math" w:hAnsi="Cambria Math"/>
                  </w:rPr>
                  <m:t>AW</m:t>
                </m:r>
              </m:oMath>
            </m:oMathPara>
          </w:p>
        </w:tc>
        <w:tc>
          <w:tcPr>
            <w:tcW w:w="0" w:type="auto"/>
            <w:vAlign w:val="center"/>
            <w:hideMark/>
          </w:tcPr>
          <w:p w14:paraId="151F3123" w14:textId="77777777" w:rsidR="00B629AE" w:rsidRPr="00B629AE" w:rsidRDefault="00B629AE" w:rsidP="00B629AE">
            <w:r w:rsidRPr="00B629AE">
              <w:t>score adequate woningvoorraad, 0–100</w:t>
            </w:r>
          </w:p>
        </w:tc>
      </w:tr>
      <w:tr w:rsidR="00B629AE" w:rsidRPr="00B629AE" w14:paraId="3FFC171E" w14:textId="77777777">
        <w:trPr>
          <w:tblCellSpacing w:w="15" w:type="dxa"/>
        </w:trPr>
        <w:tc>
          <w:tcPr>
            <w:tcW w:w="0" w:type="auto"/>
            <w:vAlign w:val="center"/>
            <w:hideMark/>
          </w:tcPr>
          <w:p w14:paraId="49432909" w14:textId="685AD745" w:rsidR="00B629AE" w:rsidRPr="00B629AE" w:rsidRDefault="00000000" w:rsidP="00B629AE">
            <m:oMathPara>
              <m:oMath>
                <m:sSub>
                  <m:sSubPr>
                    <m:ctrlPr>
                      <w:rPr>
                        <w:rFonts w:ascii="Cambria Math" w:hAnsi="Cambria Math"/>
                      </w:rPr>
                    </m:ctrlPr>
                  </m:sSubPr>
                  <m:e>
                    <m:r>
                      <w:rPr>
                        <w:rFonts w:ascii="Cambria Math" w:hAnsi="Cambria Math"/>
                      </w:rPr>
                      <m:t>D</m:t>
                    </m:r>
                  </m:e>
                  <m:sub>
                    <m:r>
                      <w:rPr>
                        <w:rFonts w:ascii="Cambria Math" w:hAnsi="Cambria Math"/>
                      </w:rPr>
                      <m:t>g</m:t>
                    </m:r>
                  </m:sub>
                </m:sSub>
              </m:oMath>
            </m:oMathPara>
          </w:p>
        </w:tc>
        <w:tc>
          <w:tcPr>
            <w:tcW w:w="0" w:type="auto"/>
            <w:vAlign w:val="center"/>
            <w:hideMark/>
          </w:tcPr>
          <w:p w14:paraId="308A2D64" w14:textId="4D1D3134" w:rsidR="00B629AE" w:rsidRPr="00B629AE" w:rsidRDefault="00B629AE" w:rsidP="00B629AE">
            <w:r w:rsidRPr="00B629AE">
              <w:t xml:space="preserve">aantal huishoudens dat in groep </w:t>
            </w:r>
            <m:oMath>
              <m:r>
                <w:rPr>
                  <w:rFonts w:ascii="Cambria Math" w:hAnsi="Cambria Math"/>
                </w:rPr>
                <m:t>g</m:t>
              </m:r>
            </m:oMath>
            <w:r w:rsidRPr="00B629AE">
              <w:t>een woning nodig heeft</w:t>
            </w:r>
          </w:p>
        </w:tc>
      </w:tr>
      <w:tr w:rsidR="00B629AE" w:rsidRPr="00B629AE" w14:paraId="5CB42E5A" w14:textId="77777777">
        <w:trPr>
          <w:tblCellSpacing w:w="15" w:type="dxa"/>
        </w:trPr>
        <w:tc>
          <w:tcPr>
            <w:tcW w:w="0" w:type="auto"/>
            <w:vAlign w:val="center"/>
            <w:hideMark/>
          </w:tcPr>
          <w:p w14:paraId="450F9FCE" w14:textId="367B7496" w:rsidR="00B629AE" w:rsidRPr="00B629AE" w:rsidRDefault="00000000" w:rsidP="00B629AE">
            <m:oMathPara>
              <m:oMath>
                <m:sSub>
                  <m:sSubPr>
                    <m:ctrlPr>
                      <w:rPr>
                        <w:rFonts w:ascii="Cambria Math" w:hAnsi="Cambria Math"/>
                      </w:rPr>
                    </m:ctrlPr>
                  </m:sSubPr>
                  <m:e>
                    <m:r>
                      <w:rPr>
                        <w:rFonts w:ascii="Cambria Math" w:hAnsi="Cambria Math"/>
                      </w:rPr>
                      <m:t>M</m:t>
                    </m:r>
                  </m:e>
                  <m:sub>
                    <m:r>
                      <w:rPr>
                        <w:rFonts w:ascii="Cambria Math" w:hAnsi="Cambria Math"/>
                      </w:rPr>
                      <m:t>g</m:t>
                    </m:r>
                  </m:sub>
                </m:sSub>
              </m:oMath>
            </m:oMathPara>
          </w:p>
        </w:tc>
        <w:tc>
          <w:tcPr>
            <w:tcW w:w="0" w:type="auto"/>
            <w:vAlign w:val="center"/>
            <w:hideMark/>
          </w:tcPr>
          <w:p w14:paraId="03728DBD" w14:textId="2E12D9E1" w:rsidR="00B629AE" w:rsidRPr="00B629AE" w:rsidRDefault="00B629AE" w:rsidP="00B629AE">
            <w:r w:rsidRPr="00B629AE">
              <w:t xml:space="preserve">aantal huishoudens uit groep </w:t>
            </w:r>
            <m:oMath>
              <m:r>
                <w:rPr>
                  <w:rFonts w:ascii="Cambria Math" w:hAnsi="Cambria Math"/>
                </w:rPr>
                <m:t>g</m:t>
              </m:r>
            </m:oMath>
            <w:r w:rsidRPr="00B629AE">
              <w:t>dat daadwerkelijk aan een adequate woning kan worden gekoppeld</w:t>
            </w:r>
          </w:p>
        </w:tc>
      </w:tr>
    </w:tbl>
    <w:p w14:paraId="0763105C" w14:textId="77777777" w:rsidR="00B629AE" w:rsidRPr="00B629AE" w:rsidRDefault="00B629AE" w:rsidP="00B629AE">
      <w:r w:rsidRPr="00B629AE">
        <w:t>Een score van 92 betekent dus:</w:t>
      </w:r>
    </w:p>
    <w:p w14:paraId="7E774ED8" w14:textId="77777777" w:rsidR="00B629AE" w:rsidRPr="00B629AE" w:rsidRDefault="00B629AE" w:rsidP="00B629AE">
      <w:r w:rsidRPr="00B629AE">
        <w:t>Voor 92% van de huishoudens is daadwerkelijk een passende, betaalbare en adequate woning beschikbaar.</w:t>
      </w:r>
    </w:p>
    <w:p w14:paraId="4218A1DD" w14:textId="77777777" w:rsidR="00B629AE" w:rsidRPr="00B629AE" w:rsidRDefault="00B629AE" w:rsidP="00B629AE">
      <w:r w:rsidRPr="00B629AE">
        <w:t>Daarnaast berekenen we het concrete tekort:</w:t>
      </w:r>
    </w:p>
    <w:p w14:paraId="46067C9E" w14:textId="59E174A0"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sub>
              </m:sSub>
            </m:e>
          </m:borderBox>
          <m:r>
            <m:rPr>
              <m:sty m:val="p"/>
            </m:rPr>
            <w:br/>
          </m:r>
        </m:oMath>
      </m:oMathPara>
    </w:p>
    <w:p w14:paraId="01E7915E" w14:textId="77777777" w:rsidR="00B629AE" w:rsidRPr="00B629AE" w:rsidRDefault="00B629AE" w:rsidP="00B629AE">
      <w:r w:rsidRPr="00B629AE">
        <w:t>En landelijk:</w:t>
      </w:r>
    </w:p>
    <w:p w14:paraId="2BC08011" w14:textId="52629FBD"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m:rPr>
                      <m:nor/>
                    </m:rPr>
                    <m:t>totaal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g</m:t>
                  </m: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sub>
                  </m:sSub>
                </m:e>
              </m:d>
            </m:e>
          </m:borderBox>
          <m:r>
            <m:rPr>
              <m:sty m:val="p"/>
            </m:rPr>
            <w:br/>
          </m:r>
        </m:oMath>
      </m:oMathPara>
    </w:p>
    <w:p w14:paraId="12FDD982" w14:textId="77777777" w:rsidR="00B629AE" w:rsidRPr="00B629AE" w:rsidRDefault="00B629AE" w:rsidP="00B629AE">
      <w:r w:rsidRPr="00B629AE">
        <w:t>Dat levert geen abstract rapportcijfer op, maar bijvoorbeeld:</w:t>
      </w:r>
    </w:p>
    <w:p w14:paraId="2F8E05BA" w14:textId="77777777" w:rsidR="00B629AE" w:rsidRPr="00B629AE" w:rsidRDefault="00B629AE" w:rsidP="00B629AE">
      <w:r w:rsidRPr="00B629AE">
        <w:t>Er ontbreken 84.000 adequate woningen, waarvan 31.000 voor alleenstaanden met een laag inkomen en 12.000 toegankelijke woningen voor mensen met een beperking.</w:t>
      </w:r>
    </w:p>
    <w:p w14:paraId="767E7E91" w14:textId="77777777" w:rsidR="00B629AE" w:rsidRPr="00B629AE" w:rsidRDefault="00B629AE" w:rsidP="00B629AE">
      <w:pPr>
        <w:rPr>
          <w:b/>
          <w:bCs/>
        </w:rPr>
      </w:pPr>
      <w:r w:rsidRPr="00B629AE">
        <w:rPr>
          <w:b/>
          <w:bCs/>
        </w:rPr>
        <w:t>Wanneer is een woning betaalbaar?</w:t>
      </w:r>
    </w:p>
    <w:p w14:paraId="6DCA843F" w14:textId="77777777" w:rsidR="00B629AE" w:rsidRPr="00B629AE" w:rsidRDefault="00B629AE" w:rsidP="00B629AE">
      <w:r w:rsidRPr="00B629AE">
        <w:t>Alleen een maximale woonquote gebruiken vind ik te grof. Eurostat spreekt van overbelasting wanneer woonkosten meer dan 40% van het besteedbaar inkomen bedragen. Dat is een bruikbaar waarschuwingssignaal, maar 35% kan voor een laag inkomen nog steeds onbetaalbaar zijn. Eurostat – Housing cost overburden rate</w:t>
      </w:r>
    </w:p>
    <w:p w14:paraId="0D406398" w14:textId="77777777" w:rsidR="00B629AE" w:rsidRPr="00B629AE" w:rsidRDefault="00B629AE" w:rsidP="00B629AE">
      <w:r w:rsidRPr="00B629AE">
        <w:t>Daarom stel ik een restinkomensmethode voor:</w:t>
      </w:r>
    </w:p>
    <w:p w14:paraId="7A3977AF" w14:textId="067D9318"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Y</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e>
          </m:borderBox>
          <m:r>
            <m:rPr>
              <m:sty m:val="p"/>
            </m:rPr>
            <w:br/>
          </m:r>
        </m:oMath>
      </m:oMathPara>
    </w:p>
    <w:p w14:paraId="09B180FE" w14:textId="77777777" w:rsidR="00B629AE" w:rsidRPr="00B629AE" w:rsidRDefault="00B629AE" w:rsidP="00B629AE">
      <w:r w:rsidRPr="00B629AE">
        <w:t>Waarbij: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442"/>
      </w:tblGrid>
      <w:tr w:rsidR="00B629AE" w:rsidRPr="00B629AE" w14:paraId="3408E078" w14:textId="77777777">
        <w:trPr>
          <w:tblHeader/>
          <w:tblCellSpacing w:w="15" w:type="dxa"/>
        </w:trPr>
        <w:tc>
          <w:tcPr>
            <w:tcW w:w="0" w:type="auto"/>
            <w:vAlign w:val="center"/>
            <w:hideMark/>
          </w:tcPr>
          <w:p w14:paraId="79AE5308" w14:textId="77777777" w:rsidR="00B629AE" w:rsidRPr="00B629AE" w:rsidRDefault="00B629AE" w:rsidP="00B629AE">
            <w:pPr>
              <w:rPr>
                <w:b/>
                <w:bCs/>
              </w:rPr>
            </w:pPr>
            <w:r w:rsidRPr="00B629AE">
              <w:rPr>
                <w:b/>
                <w:bCs/>
              </w:rPr>
              <w:t>Symbool</w:t>
            </w:r>
          </w:p>
        </w:tc>
        <w:tc>
          <w:tcPr>
            <w:tcW w:w="0" w:type="auto"/>
            <w:vAlign w:val="center"/>
            <w:hideMark/>
          </w:tcPr>
          <w:p w14:paraId="2FB4540A" w14:textId="77777777" w:rsidR="00B629AE" w:rsidRPr="00B629AE" w:rsidRDefault="00B629AE" w:rsidP="00B629AE">
            <w:pPr>
              <w:rPr>
                <w:b/>
                <w:bCs/>
              </w:rPr>
            </w:pPr>
            <w:r w:rsidRPr="00B629AE">
              <w:rPr>
                <w:b/>
                <w:bCs/>
              </w:rPr>
              <w:t>Betekenis</w:t>
            </w:r>
          </w:p>
        </w:tc>
      </w:tr>
      <w:tr w:rsidR="00B629AE" w:rsidRPr="00B629AE" w14:paraId="02079F14" w14:textId="77777777">
        <w:trPr>
          <w:tblCellSpacing w:w="15" w:type="dxa"/>
        </w:trPr>
        <w:tc>
          <w:tcPr>
            <w:tcW w:w="0" w:type="auto"/>
            <w:vAlign w:val="center"/>
            <w:hideMark/>
          </w:tcPr>
          <w:p w14:paraId="53983774" w14:textId="6D247C20" w:rsidR="00B629AE" w:rsidRPr="00B629AE" w:rsidRDefault="00000000" w:rsidP="00B629AE">
            <m:oMathPara>
              <m:oMath>
                <m:sSub>
                  <m:sSubPr>
                    <m:ctrlPr>
                      <w:rPr>
                        <w:rFonts w:ascii="Cambria Math" w:hAnsi="Cambria Math"/>
                      </w:rPr>
                    </m:ctrlPr>
                  </m:sSubPr>
                  <m:e>
                    <m:r>
                      <w:rPr>
                        <w:rFonts w:ascii="Cambria Math" w:hAnsi="Cambria Math"/>
                      </w:rPr>
                      <m:t>Y</m:t>
                    </m:r>
                  </m:e>
                  <m:sub>
                    <m:r>
                      <w:rPr>
                        <w:rFonts w:ascii="Cambria Math" w:hAnsi="Cambria Math"/>
                      </w:rPr>
                      <m:t>h</m:t>
                    </m:r>
                  </m:sub>
                </m:sSub>
              </m:oMath>
            </m:oMathPara>
          </w:p>
        </w:tc>
        <w:tc>
          <w:tcPr>
            <w:tcW w:w="0" w:type="auto"/>
            <w:vAlign w:val="center"/>
            <w:hideMark/>
          </w:tcPr>
          <w:p w14:paraId="11945182" w14:textId="3A9D6A43" w:rsidR="00B629AE" w:rsidRPr="00B629AE" w:rsidRDefault="00B629AE" w:rsidP="00B629AE">
            <w:r w:rsidRPr="00B629AE">
              <w:t xml:space="preserve">netto besteedbaar inkomen van huishouden </w:t>
            </w:r>
            <m:oMath>
              <m:r>
                <w:rPr>
                  <w:rFonts w:ascii="Cambria Math" w:hAnsi="Cambria Math"/>
                </w:rPr>
                <m:t>h</m:t>
              </m:r>
            </m:oMath>
            <w:r w:rsidRPr="00B629AE">
              <w:t>, exclusief basisinkomen</w:t>
            </w:r>
          </w:p>
        </w:tc>
      </w:tr>
      <w:tr w:rsidR="00B629AE" w:rsidRPr="00B629AE" w14:paraId="2BBE1652" w14:textId="77777777">
        <w:trPr>
          <w:tblCellSpacing w:w="15" w:type="dxa"/>
        </w:trPr>
        <w:tc>
          <w:tcPr>
            <w:tcW w:w="0" w:type="auto"/>
            <w:vAlign w:val="center"/>
            <w:hideMark/>
          </w:tcPr>
          <w:p w14:paraId="796E743D" w14:textId="03B97438" w:rsidR="00B629AE" w:rsidRPr="00B629AE" w:rsidRDefault="00000000" w:rsidP="00B629AE">
            <m:oMathPara>
              <m:oMath>
                <m:sSub>
                  <m:sSubPr>
                    <m:ctrlPr>
                      <w:rPr>
                        <w:rFonts w:ascii="Cambria Math" w:hAnsi="Cambria Math"/>
                      </w:rPr>
                    </m:ctrlPr>
                  </m:sSubPr>
                  <m:e>
                    <m:r>
                      <w:rPr>
                        <w:rFonts w:ascii="Cambria Math" w:hAnsi="Cambria Math"/>
                      </w:rPr>
                      <m:t>U</m:t>
                    </m:r>
                  </m:e>
                  <m:sub>
                    <m:r>
                      <w:rPr>
                        <w:rFonts w:ascii="Cambria Math" w:hAnsi="Cambria Math"/>
                      </w:rPr>
                      <m:t>h</m:t>
                    </m:r>
                  </m:sub>
                </m:sSub>
              </m:oMath>
            </m:oMathPara>
          </w:p>
        </w:tc>
        <w:tc>
          <w:tcPr>
            <w:tcW w:w="0" w:type="auto"/>
            <w:vAlign w:val="center"/>
            <w:hideMark/>
          </w:tcPr>
          <w:p w14:paraId="1D6E4E49" w14:textId="77777777" w:rsidR="00B629AE" w:rsidRPr="00B629AE" w:rsidRDefault="00B629AE" w:rsidP="00B629AE">
            <w:r w:rsidRPr="00B629AE">
              <w:t>basisinkomen dat het huishouden ontvangt</w:t>
            </w:r>
          </w:p>
        </w:tc>
      </w:tr>
      <w:tr w:rsidR="00B629AE" w:rsidRPr="00B629AE" w14:paraId="7C0DC239" w14:textId="77777777">
        <w:trPr>
          <w:tblCellSpacing w:w="15" w:type="dxa"/>
        </w:trPr>
        <w:tc>
          <w:tcPr>
            <w:tcW w:w="0" w:type="auto"/>
            <w:vAlign w:val="center"/>
            <w:hideMark/>
          </w:tcPr>
          <w:p w14:paraId="366B0C6D" w14:textId="09C7B083" w:rsidR="00B629AE" w:rsidRPr="00B629AE" w:rsidRDefault="00000000" w:rsidP="00B629AE">
            <m:oMathPara>
              <m:oMath>
                <m:sSub>
                  <m:sSubPr>
                    <m:ctrlPr>
                      <w:rPr>
                        <w:rFonts w:ascii="Cambria Math" w:hAnsi="Cambria Math"/>
                      </w:rPr>
                    </m:ctrlPr>
                  </m:sSubPr>
                  <m:e>
                    <m:r>
                      <w:rPr>
                        <w:rFonts w:ascii="Cambria Math" w:hAnsi="Cambria Math"/>
                      </w:rPr>
                      <m:t>H</m:t>
                    </m:r>
                  </m:e>
                  <m:sub>
                    <m:r>
                      <w:rPr>
                        <w:rFonts w:ascii="Cambria Math" w:hAnsi="Cambria Math"/>
                      </w:rPr>
                      <m:t>j</m:t>
                    </m:r>
                  </m:sub>
                </m:sSub>
              </m:oMath>
            </m:oMathPara>
          </w:p>
        </w:tc>
        <w:tc>
          <w:tcPr>
            <w:tcW w:w="0" w:type="auto"/>
            <w:vAlign w:val="center"/>
            <w:hideMark/>
          </w:tcPr>
          <w:p w14:paraId="43C873C2" w14:textId="2E64807E" w:rsidR="00B629AE" w:rsidRPr="00B629AE" w:rsidRDefault="00B629AE" w:rsidP="00B629AE">
            <w:r w:rsidRPr="00B629AE">
              <w:t xml:space="preserve">netto woon- en normale energielasten van woning </w:t>
            </w:r>
            <m:oMath>
              <m:r>
                <w:rPr>
                  <w:rFonts w:ascii="Cambria Math" w:hAnsi="Cambria Math"/>
                </w:rPr>
                <m:t>j</m:t>
              </m:r>
            </m:oMath>
          </w:p>
        </w:tc>
      </w:tr>
      <w:tr w:rsidR="00B629AE" w:rsidRPr="00B629AE" w14:paraId="1EA13C68" w14:textId="77777777">
        <w:trPr>
          <w:tblCellSpacing w:w="15" w:type="dxa"/>
        </w:trPr>
        <w:tc>
          <w:tcPr>
            <w:tcW w:w="0" w:type="auto"/>
            <w:vAlign w:val="center"/>
            <w:hideMark/>
          </w:tcPr>
          <w:p w14:paraId="36E1025D" w14:textId="6328645B" w:rsidR="00B629AE" w:rsidRPr="00B629AE" w:rsidRDefault="00000000" w:rsidP="00B629AE">
            <m:oMathPara>
              <m:oMath>
                <m:sSub>
                  <m:sSubPr>
                    <m:ctrlPr>
                      <w:rPr>
                        <w:rFonts w:ascii="Cambria Math" w:hAnsi="Cambria Math"/>
                      </w:rPr>
                    </m:ctrlPr>
                  </m:sSubPr>
                  <m:e>
                    <m:r>
                      <w:rPr>
                        <w:rFonts w:ascii="Cambria Math" w:hAnsi="Cambria Math"/>
                      </w:rPr>
                      <m:t>N</m:t>
                    </m:r>
                  </m:e>
                  <m:sub>
                    <m:r>
                      <w:rPr>
                        <w:rFonts w:ascii="Cambria Math" w:hAnsi="Cambria Math"/>
                      </w:rPr>
                      <m:t>h</m:t>
                    </m:r>
                  </m:sub>
                </m:sSub>
              </m:oMath>
            </m:oMathPara>
          </w:p>
        </w:tc>
        <w:tc>
          <w:tcPr>
            <w:tcW w:w="0" w:type="auto"/>
            <w:vAlign w:val="center"/>
            <w:hideMark/>
          </w:tcPr>
          <w:p w14:paraId="712474C9" w14:textId="2E391144" w:rsidR="00B629AE" w:rsidRPr="00B629AE" w:rsidRDefault="00B629AE" w:rsidP="00B629AE">
            <w:r w:rsidRPr="00B629AE">
              <w:t xml:space="preserve">minimaal bedrag voor alle overige noodzakelijke uitgaven van huishouden </w:t>
            </w:r>
            <m:oMath>
              <m:r>
                <w:rPr>
                  <w:rFonts w:ascii="Cambria Math" w:hAnsi="Cambria Math"/>
                </w:rPr>
                <m:t>h</m:t>
              </m:r>
            </m:oMath>
          </w:p>
        </w:tc>
      </w:tr>
    </w:tbl>
    <w:p w14:paraId="2A971F26" w14:textId="77777777" w:rsidR="00B629AE" w:rsidRPr="00B629AE" w:rsidRDefault="00B629AE" w:rsidP="00B629AE">
      <w:r w:rsidRPr="00B629AE">
        <w:t>Als na betaling van een woning onvoldoende overblijft voor voeding, kleding, zorg, vervoer, reserveringen en maatschappelijke deelname, telt die woning voor dat huishouden niet als betaalbaar.</w:t>
      </w:r>
    </w:p>
    <w:p w14:paraId="0292C595" w14:textId="77777777" w:rsidR="00B629AE" w:rsidRPr="00B629AE" w:rsidRDefault="00B629AE" w:rsidP="00B629AE">
      <w:pPr>
        <w:rPr>
          <w:b/>
          <w:bCs/>
        </w:rPr>
      </w:pPr>
      <w:r w:rsidRPr="00B629AE">
        <w:rPr>
          <w:b/>
          <w:bCs/>
        </w:rPr>
        <w:t>Belangrijke rekenregel</w:t>
      </w:r>
    </w:p>
    <w:p w14:paraId="53B29143" w14:textId="77777777" w:rsidR="00B629AE" w:rsidRPr="00B629AE" w:rsidRDefault="00B629AE" w:rsidP="00B629AE">
      <w:r w:rsidRPr="00B629AE">
        <w:t>Iedere woning mag maar één keer worden meegeteld en ieder huishouden maar één keer worden geplaatst. Anders kan dezelfde goedkope woning op papier tegelijk beschikbaar lijken voor een starter, oudere en gezin.</w:t>
      </w:r>
    </w:p>
    <w:p w14:paraId="047B90A9" w14:textId="77777777" w:rsidR="00B629AE" w:rsidRPr="00B629AE" w:rsidRDefault="00B629AE" w:rsidP="00B629AE">
      <w:r w:rsidRPr="00B629AE">
        <w:t xml:space="preserve">De uiteindelijke berekening is daarom eigenlijk een </w:t>
      </w:r>
      <w:r w:rsidRPr="00B629AE">
        <w:rPr>
          <w:b/>
          <w:bCs/>
        </w:rPr>
        <w:t>koppel- of matchingmodel</w:t>
      </w:r>
      <w:r w:rsidRPr="00B629AE">
        <w:t>:</w:t>
      </w:r>
    </w:p>
    <w:p w14:paraId="13695B4B" w14:textId="77777777" w:rsidR="00B629AE" w:rsidRPr="00B629AE" w:rsidRDefault="00B629AE" w:rsidP="00B629AE">
      <w:r w:rsidRPr="00B629AE">
        <w:t>Hoeveel huishoudens kunnen we, gegeven hun inkomen en behoeften, één-op-één koppelen aan de bestaande voorraad?</w:t>
      </w:r>
    </w:p>
    <w:p w14:paraId="4BE0130E" w14:textId="77777777" w:rsidR="00B629AE" w:rsidRPr="00B629AE" w:rsidRDefault="00B629AE" w:rsidP="00B629AE">
      <w:pPr>
        <w:rPr>
          <w:b/>
          <w:bCs/>
        </w:rPr>
      </w:pPr>
      <w:r w:rsidRPr="00B629AE">
        <w:rPr>
          <w:b/>
          <w:bCs/>
        </w:rPr>
        <w:t>2. Basisinkomen</w:t>
      </w:r>
    </w:p>
    <w:p w14:paraId="6E47CC83" w14:textId="77777777" w:rsidR="00B629AE" w:rsidRPr="00B629AE" w:rsidRDefault="00B629AE" w:rsidP="00B629AE">
      <w:r w:rsidRPr="00B629AE">
        <w:t>Voor het basisinkomen moeten we twee vragen afzonderlijk beantwoorden:</w:t>
      </w:r>
    </w:p>
    <w:p w14:paraId="537DA1EB" w14:textId="77777777" w:rsidR="00B629AE" w:rsidRPr="00B629AE" w:rsidRDefault="00B629AE" w:rsidP="00B629AE">
      <w:pPr>
        <w:numPr>
          <w:ilvl w:val="0"/>
          <w:numId w:val="3"/>
        </w:numPr>
      </w:pPr>
      <w:r w:rsidRPr="00B629AE">
        <w:t xml:space="preserve">Is het bedrag voldoende om tekorten weg te nemen? </w:t>
      </w:r>
    </w:p>
    <w:p w14:paraId="15B9969B" w14:textId="77777777" w:rsidR="00B629AE" w:rsidRPr="00B629AE" w:rsidRDefault="00B629AE" w:rsidP="00B629AE">
      <w:pPr>
        <w:numPr>
          <w:ilvl w:val="0"/>
          <w:numId w:val="3"/>
        </w:numPr>
      </w:pPr>
      <w:r w:rsidRPr="00B629AE">
        <w:t xml:space="preserve">Wat kost het de overheid? </w:t>
      </w:r>
    </w:p>
    <w:p w14:paraId="0BD370CF" w14:textId="77777777" w:rsidR="00B629AE" w:rsidRPr="00B629AE" w:rsidRDefault="00B629AE" w:rsidP="00B629AE">
      <w:pPr>
        <w:rPr>
          <w:b/>
          <w:bCs/>
        </w:rPr>
      </w:pPr>
      <w:r w:rsidRPr="00B629AE">
        <w:rPr>
          <w:b/>
          <w:bCs/>
        </w:rPr>
        <w:t>Inkomen per huishouden</w:t>
      </w:r>
    </w:p>
    <w:p w14:paraId="499B6707" w14:textId="77777777" w:rsidR="00B629AE" w:rsidRPr="00B629AE" w:rsidRDefault="00B629AE" w:rsidP="00B629AE">
      <w:r w:rsidRPr="00B629AE">
        <w:t>Stel:</w:t>
      </w:r>
    </w:p>
    <w:p w14:paraId="69CC495D" w14:textId="7829CEBE" w:rsidR="00B629AE" w:rsidRPr="00B629AE" w:rsidRDefault="00B629AE" w:rsidP="00B629AE">
      <w:pPr>
        <w:numPr>
          <w:ilvl w:val="0"/>
          <w:numId w:val="4"/>
        </w:numPr>
      </w:pPr>
      <m:oMath>
        <m:r>
          <w:rPr>
            <w:rFonts w:ascii="Cambria Math" w:hAnsi="Cambria Math"/>
          </w:rPr>
          <m:t>b</m:t>
        </m:r>
      </m:oMath>
      <w:r w:rsidRPr="00B629AE">
        <w:t xml:space="preserve">= basisinkomen per volwassene per maand; </w:t>
      </w:r>
    </w:p>
    <w:p w14:paraId="5D275C1C" w14:textId="0A8F0407" w:rsidR="00B629AE" w:rsidRPr="00B629AE" w:rsidRDefault="00B629AE" w:rsidP="00B629AE">
      <w:pPr>
        <w:numPr>
          <w:ilvl w:val="0"/>
          <w:numId w:val="4"/>
        </w:numPr>
      </w:pPr>
      <m:oMath>
        <m:r>
          <w:rPr>
            <w:rFonts w:ascii="Cambria Math" w:hAnsi="Cambria Math"/>
          </w:rPr>
          <m:t>c</m:t>
        </m:r>
      </m:oMath>
      <w:r w:rsidRPr="00B629AE">
        <w:t xml:space="preserve">= eventueel bedrag per kind; </w:t>
      </w:r>
    </w:p>
    <w:p w14:paraId="4A058A85" w14:textId="31A46089" w:rsidR="00B629AE" w:rsidRPr="00B629AE" w:rsidRDefault="00000000" w:rsidP="00B629AE">
      <w:pPr>
        <w:numPr>
          <w:ilvl w:val="0"/>
          <w:numId w:val="4"/>
        </w:numPr>
      </w:pPr>
      <m:oMath>
        <m:sSub>
          <m:sSubPr>
            <m:ctrlPr>
              <w:rPr>
                <w:rFonts w:ascii="Cambria Math" w:hAnsi="Cambria Math"/>
              </w:rPr>
            </m:ctrlPr>
          </m:sSubPr>
          <m:e>
            <m:r>
              <w:rPr>
                <w:rFonts w:ascii="Cambria Math" w:hAnsi="Cambria Math"/>
              </w:rPr>
              <m:t>a</m:t>
            </m:r>
          </m:e>
          <m:sub>
            <m:r>
              <w:rPr>
                <w:rFonts w:ascii="Cambria Math" w:hAnsi="Cambria Math"/>
              </w:rPr>
              <m:t>h</m:t>
            </m:r>
          </m:sub>
        </m:sSub>
      </m:oMath>
      <w:r w:rsidR="00B629AE" w:rsidRPr="00B629AE">
        <w:t xml:space="preserve">= aantal volwassenen in huishouden </w:t>
      </w:r>
      <m:oMath>
        <m:r>
          <w:rPr>
            <w:rFonts w:ascii="Cambria Math" w:hAnsi="Cambria Math"/>
          </w:rPr>
          <m:t>h</m:t>
        </m:r>
      </m:oMath>
      <w:r w:rsidR="00B629AE" w:rsidRPr="00B629AE">
        <w:t xml:space="preserve">; </w:t>
      </w:r>
    </w:p>
    <w:p w14:paraId="519FDCD1" w14:textId="007785AE" w:rsidR="00B629AE" w:rsidRPr="00B629AE" w:rsidRDefault="00000000" w:rsidP="00B629AE">
      <w:pPr>
        <w:numPr>
          <w:ilvl w:val="0"/>
          <w:numId w:val="4"/>
        </w:numPr>
      </w:pPr>
      <m:oMath>
        <m:sSub>
          <m:sSubPr>
            <m:ctrlPr>
              <w:rPr>
                <w:rFonts w:ascii="Cambria Math" w:hAnsi="Cambria Math"/>
              </w:rPr>
            </m:ctrlPr>
          </m:sSubPr>
          <m:e>
            <m:r>
              <w:rPr>
                <w:rFonts w:ascii="Cambria Math" w:hAnsi="Cambria Math"/>
              </w:rPr>
              <m:t>k</m:t>
            </m:r>
          </m:e>
          <m:sub>
            <m:r>
              <w:rPr>
                <w:rFonts w:ascii="Cambria Math" w:hAnsi="Cambria Math"/>
              </w:rPr>
              <m:t>h</m:t>
            </m:r>
          </m:sub>
        </m:sSub>
      </m:oMath>
      <w:r w:rsidR="00B629AE" w:rsidRPr="00B629AE">
        <w:t xml:space="preserve">= aantal kinderen. </w:t>
      </w:r>
    </w:p>
    <w:p w14:paraId="7CE72938" w14:textId="77777777" w:rsidR="00B629AE" w:rsidRPr="00B629AE" w:rsidRDefault="00B629AE" w:rsidP="00B629AE">
      <w:r w:rsidRPr="00B629AE">
        <w:t>Dan ontvangt het huishouden:</w:t>
      </w:r>
    </w:p>
    <w:p w14:paraId="4B254DBE" w14:textId="369CF9D2"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b+</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c</m:t>
              </m:r>
            </m:e>
          </m:borderBox>
          <m:r>
            <m:rPr>
              <m:sty m:val="p"/>
            </m:rPr>
            <w:br/>
          </m:r>
        </m:oMath>
      </m:oMathPara>
    </w:p>
    <w:p w14:paraId="71244A5C" w14:textId="29C67904" w:rsidR="00B629AE" w:rsidRPr="00B629AE" w:rsidRDefault="00B629AE" w:rsidP="00B629AE">
      <w:r w:rsidRPr="00B629AE">
        <w:t xml:space="preserve">Wanneer alleen volwassenen basisinkomen krijgen, is </w:t>
      </w:r>
      <m:oMath>
        <m:r>
          <w:rPr>
            <w:rFonts w:ascii="Cambria Math" w:hAnsi="Cambria Math"/>
          </w:rPr>
          <m:t>c=0</m:t>
        </m:r>
      </m:oMath>
      <w:r w:rsidRPr="00B629AE">
        <w:t>.</w:t>
      </w:r>
    </w:p>
    <w:p w14:paraId="1845B18C" w14:textId="77777777" w:rsidR="00B629AE" w:rsidRPr="00B629AE" w:rsidRDefault="00B629AE" w:rsidP="00B629AE">
      <w:r w:rsidRPr="00B629AE">
        <w:t>Het basisinkomen zelf blijft individueel en onvoorwaardelijk. We gebruiken de huishoudsamenstelling alleen om te beoordelen of het totale huishoudbudget voldoende is.</w:t>
      </w:r>
    </w:p>
    <w:p w14:paraId="44B900BB" w14:textId="77777777" w:rsidR="00B629AE" w:rsidRPr="00B629AE" w:rsidRDefault="00B629AE" w:rsidP="00B629AE">
      <w:pPr>
        <w:rPr>
          <w:b/>
          <w:bCs/>
        </w:rPr>
      </w:pPr>
      <w:r w:rsidRPr="00B629AE">
        <w:rPr>
          <w:b/>
          <w:bCs/>
        </w:rPr>
        <w:t>Resterende bestaansruimte</w:t>
      </w:r>
    </w:p>
    <w:p w14:paraId="085DDA9B" w14:textId="5AC7EDFF"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e>
          </m:borderBox>
          <m:r>
            <m:rPr>
              <m:sty m:val="p"/>
            </m:rPr>
            <w:br/>
          </m:r>
        </m:oMath>
      </m:oMathPara>
    </w:p>
    <w:p w14:paraId="13982987" w14:textId="77777777" w:rsidR="00B629AE" w:rsidRPr="00B629AE" w:rsidRDefault="00B629AE" w:rsidP="00B629AE">
      <w:r w:rsidRPr="00B629AE">
        <w:t>Waarbij:</w:t>
      </w:r>
    </w:p>
    <w:p w14:paraId="4F7DE2E1" w14:textId="7E90B5F8" w:rsidR="00B629AE" w:rsidRPr="00B629AE" w:rsidRDefault="00000000" w:rsidP="00B629AE">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≥0</m:t>
        </m:r>
      </m:oMath>
      <w:r w:rsidR="00B629AE" w:rsidRPr="00B629AE">
        <w:t xml:space="preserve">: het huishouden kan de minimale noodzakelijke uitgaven betalen; </w:t>
      </w:r>
    </w:p>
    <w:p w14:paraId="2B75AC7A" w14:textId="5DEDD17C" w:rsidR="00B629AE" w:rsidRPr="00B629AE" w:rsidRDefault="00000000" w:rsidP="00B629AE">
      <w:pPr>
        <w:numPr>
          <w:ilvl w:val="0"/>
          <w:numId w:val="5"/>
        </w:numPr>
      </w:pPr>
      <m:oMath>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&lt;0</m:t>
        </m:r>
      </m:oMath>
      <w:r w:rsidR="00B629AE" w:rsidRPr="00B629AE">
        <w:t xml:space="preserve">: er resteert een maandelijks tekort. </w:t>
      </w:r>
    </w:p>
    <w:p w14:paraId="5C669CE2" w14:textId="77777777" w:rsidR="00B629AE" w:rsidRPr="00B629AE" w:rsidRDefault="00B629AE" w:rsidP="00B629AE">
      <w:r w:rsidRPr="00B629AE">
        <w:t>Het resterende tekort is:</w:t>
      </w:r>
    </w:p>
    <w:p w14:paraId="679D7EC3" w14:textId="7C6CABF5"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e>
              </m:d>
            </m:e>
          </m:borderBox>
          <m:r>
            <m:rPr>
              <m:sty m:val="p"/>
            </m:rPr>
            <w:br/>
          </m:r>
        </m:oMath>
      </m:oMathPara>
    </w:p>
    <w:p w14:paraId="2014F7ED" w14:textId="77777777" w:rsidR="00B629AE" w:rsidRPr="00B629AE" w:rsidRDefault="00B629AE" w:rsidP="00B629AE">
      <w:r w:rsidRPr="00B629AE">
        <w:t xml:space="preserve">De minimumvoorbeeldbegrotingen van het Nibud zijn hiervoor een sterke basis. Ze bevatten vaste lasten, reserveringsuitgaven, huishoudelijke uitgaven en sociale participatie. De huidige CBS-, SCP- en Nibud-benadering van armoede is eveneens gebaseerd op het minimumbedrag dat nodig is om te leven en mee te doen in de samenleving. </w:t>
      </w:r>
      <w:hyperlink r:id="rId6" w:tgtFrame="_new" w:history="1">
        <w:r w:rsidRPr="00B629AE">
          <w:rPr>
            <w:rStyle w:val="Hyperlink"/>
          </w:rPr>
          <w:t>CBS – Wat is genoeg om van te leven?</w:t>
        </w:r>
      </w:hyperlink>
    </w:p>
    <w:p w14:paraId="5F7806F4" w14:textId="77777777" w:rsidR="00B629AE" w:rsidRPr="00B629AE" w:rsidRDefault="00B629AE" w:rsidP="00B629AE">
      <w:pPr>
        <w:rPr>
          <w:b/>
          <w:bCs/>
        </w:rPr>
      </w:pPr>
      <w:r w:rsidRPr="00B629AE">
        <w:rPr>
          <w:b/>
          <w:bCs/>
        </w:rPr>
        <w:t>Basisinkomensdekking</w:t>
      </w:r>
    </w:p>
    <w:p w14:paraId="1AAF9FE6" w14:textId="5EAE77B0" w:rsidR="00B629AE" w:rsidRPr="00B629AE" w:rsidRDefault="00B629AE" w:rsidP="00B629AE">
      <w:r w:rsidRPr="00B629AE">
        <w:t xml:space="preserve">Voor een gekozen bedrag </w:t>
      </w:r>
      <m:oMath>
        <m:r>
          <w:rPr>
            <w:rFonts w:ascii="Cambria Math" w:hAnsi="Cambria Math"/>
          </w:rPr>
          <m:t>b</m:t>
        </m:r>
      </m:oMath>
      <w:r w:rsidRPr="00B629AE">
        <w:t>berekenen we:</w:t>
      </w:r>
    </w:p>
    <w:p w14:paraId="5E960B8D" w14:textId="27771AEE" w:rsidR="00B629AE" w:rsidRPr="00B629AE" w:rsidRDefault="00000000" w:rsidP="00B629AE">
      <m:oMathPara>
        <m:oMath>
          <m:borderBox>
            <m:borderBoxPr>
              <m:ctrlPr>
                <w:rPr>
                  <w:rFonts w:ascii="Cambria Math" w:hAnsi="Cambria Math"/>
                </w:rPr>
              </m:ctrlPr>
            </m:borderBoxPr>
            <m:e>
              <m:r>
                <w:rPr>
                  <w:rFonts w:ascii="Cambria Math" w:hAnsi="Cambria Math"/>
                </w:rPr>
                <m:t>BI</m:t>
              </m:r>
              <m:d>
                <m:dPr>
                  <m:sepChr m:val=","/>
                  <m:ctrlPr>
                    <w:rPr>
                      <w:rFonts w:ascii="Cambria Math" w:hAnsi="Cambria Math"/>
                    </w:rPr>
                  </m:ctrlPr>
                </m:dPr>
                <m:e>
                  <m:r>
                    <w:rPr>
                      <w:rFonts w:ascii="Cambria Math" w:hAnsi="Cambria Math"/>
                    </w:rPr>
                    <m:t>b</m:t>
                  </m:r>
                </m:e>
                <m:e>
                  <m:r>
                    <w:rPr>
                      <w:rFonts w:ascii="Cambria Math" w:hAnsi="Cambria Math"/>
                    </w:rPr>
                    <m:t>c</m:t>
                  </m:r>
                </m:e>
              </m:d>
              <m:r>
                <w:rPr>
                  <w:rFonts w:ascii="Cambria Math" w:hAnsi="Cambria Math"/>
                </w:rPr>
                <m:t>=100×</m:t>
              </m:r>
              <m:f>
                <m:fPr>
                  <m:ctrlPr>
                    <w:rPr>
                      <w:rFonts w:ascii="Cambria Math" w:hAnsi="Cambria Math"/>
                    </w:rPr>
                  </m:ctrlPr>
                </m:fPr>
                <m:num>
                  <m:r>
                    <m:rPr>
                      <m:nor/>
                    </m:rPr>
                    <m:t>aantal huishoudens met </m:t>
                  </m:r>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≥0</m:t>
                  </m:r>
                </m:num>
                <m:den>
                  <m:r>
                    <m:rPr>
                      <m:nor/>
                    </m:rPr>
                    <m:t>totaal aantal huishoudens</m:t>
                  </m:r>
                </m:den>
              </m:f>
            </m:e>
          </m:borderBox>
          <m:r>
            <m:rPr>
              <m:sty m:val="p"/>
            </m:rPr>
            <w:br/>
          </m:r>
        </m:oMath>
      </m:oMathPara>
    </w:p>
    <w:p w14:paraId="3D4607A0" w14:textId="450AD383" w:rsidR="00B629AE" w:rsidRPr="00B629AE" w:rsidRDefault="00B629AE" w:rsidP="00B629AE">
      <w:r w:rsidRPr="00B629AE">
        <w:t xml:space="preserve">Een uitkomst van </w:t>
      </w:r>
      <m:oMath>
        <m:r>
          <w:rPr>
            <w:rFonts w:ascii="Cambria Math" w:hAnsi="Cambria Math"/>
          </w:rPr>
          <m:t>BI=94</m:t>
        </m:r>
      </m:oMath>
      <w:r w:rsidRPr="00B629AE">
        <w:t>betekent:</w:t>
      </w:r>
    </w:p>
    <w:p w14:paraId="429F5214" w14:textId="77777777" w:rsidR="00B629AE" w:rsidRPr="00B629AE" w:rsidRDefault="00B629AE" w:rsidP="00B629AE">
      <w:r w:rsidRPr="00B629AE">
        <w:t>Met dit basisinkomen kan 94% van de huishoudens het vastgestelde minimumbudget betalen.</w:t>
      </w:r>
    </w:p>
    <w:p w14:paraId="751C91A5" w14:textId="77777777" w:rsidR="00B629AE" w:rsidRPr="00B629AE" w:rsidRDefault="00B629AE" w:rsidP="00B629AE">
      <w:r w:rsidRPr="00B629AE">
        <w:t>Maar daarnaast moeten we de resterende inkomenskloof tonen:</w:t>
      </w:r>
    </w:p>
    <w:p w14:paraId="640C529D" w14:textId="6440B70D"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m:rPr>
                      <m:nor/>
                    </m:rPr>
                    <m:t>gemiddeld</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w</m:t>
                          </m:r>
                        </m:e>
                        <m:sub>
                          <m:r>
                            <w:rPr>
                              <w:rFonts w:ascii="Cambria Math" w:hAnsi="Cambria Math"/>
                            </w:rPr>
                            <m:t>h</m:t>
                          </m:r>
                        </m:sub>
                      </m:sSub>
                    </m:e>
                  </m:nary>
                  <m:sSub>
                    <m:sSubPr>
                      <m:ctrlPr>
                        <w:rPr>
                          <w:rFonts w:ascii="Cambria Math" w:hAnsi="Cambria Math"/>
                        </w:rPr>
                      </m:ctrlPr>
                    </m:sSubPr>
                    <m:e>
                      <m:r>
                        <w:rPr>
                          <w:rFonts w:ascii="Cambria Math" w:hAnsi="Cambria Math"/>
                        </w:rPr>
                        <m:t>G</m:t>
                      </m:r>
                    </m:e>
                    <m:sub>
                      <m:r>
                        <w:rPr>
                          <w:rFonts w:ascii="Cambria Math" w:hAnsi="Cambria Math"/>
                        </w:rPr>
                        <m:t>h</m:t>
                      </m:r>
                    </m:sub>
                  </m:sSub>
                </m:num>
                <m:den>
                  <m:nary>
                    <m:naryPr>
                      <m:chr m:val="∑"/>
                      <m:limLoc m:val="undOvr"/>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w</m:t>
                          </m:r>
                        </m:e>
                        <m:sub>
                          <m:r>
                            <w:rPr>
                              <w:rFonts w:ascii="Cambria Math" w:hAnsi="Cambria Math"/>
                            </w:rPr>
                            <m:t>h</m:t>
                          </m:r>
                        </m:sub>
                      </m:sSub>
                    </m:e>
                  </m:nary>
                </m:den>
              </m:f>
            </m:e>
          </m:borderBox>
          <m:r>
            <m:rPr>
              <m:sty m:val="p"/>
            </m:rPr>
            <w:br/>
          </m:r>
        </m:oMath>
      </m:oMathPara>
    </w:p>
    <w:p w14:paraId="47CA2BA0" w14:textId="2F2A92E4" w:rsidR="00B629AE" w:rsidRPr="00B629AE" w:rsidRDefault="00B629AE" w:rsidP="00B629AE">
      <w:r w:rsidRPr="00B629AE">
        <w:t xml:space="preserve">Hierin is </w:t>
      </w:r>
      <m:oMath>
        <m:sSub>
          <m:sSubPr>
            <m:ctrlPr>
              <w:rPr>
                <w:rFonts w:ascii="Cambria Math" w:hAnsi="Cambria Math"/>
              </w:rPr>
            </m:ctrlPr>
          </m:sSubPr>
          <m:e>
            <m:r>
              <w:rPr>
                <w:rFonts w:ascii="Cambria Math" w:hAnsi="Cambria Math"/>
              </w:rPr>
              <m:t>w</m:t>
            </m:r>
          </m:e>
          <m:sub>
            <m:r>
              <w:rPr>
                <w:rFonts w:ascii="Cambria Math" w:hAnsi="Cambria Math"/>
              </w:rPr>
              <m:t>h</m:t>
            </m:r>
          </m:sub>
        </m:sSub>
      </m:oMath>
      <w:r w:rsidRPr="00B629AE">
        <w:t>het aantal huishoudens dat een waargenomen huishouden vertegenwoordigt.</w:t>
      </w:r>
    </w:p>
    <w:p w14:paraId="31F863C1" w14:textId="77777777" w:rsidR="00B629AE" w:rsidRPr="00B629AE" w:rsidRDefault="00B629AE" w:rsidP="00B629AE">
      <w:r w:rsidRPr="00B629AE">
        <w:lastRenderedPageBreak/>
        <w:t>Daardoor kunnen twee varianten worden onderscheiden:</w:t>
      </w:r>
    </w:p>
    <w:p w14:paraId="2117B9A8" w14:textId="77777777" w:rsidR="00B629AE" w:rsidRPr="00B629AE" w:rsidRDefault="00B629AE" w:rsidP="00B629AE">
      <w:pPr>
        <w:numPr>
          <w:ilvl w:val="0"/>
          <w:numId w:val="6"/>
        </w:numPr>
      </w:pPr>
      <w:r w:rsidRPr="00B629AE">
        <w:t xml:space="preserve">94% heeft voldoende en de overige 6% komt gemiddeld €40 tekort; </w:t>
      </w:r>
    </w:p>
    <w:p w14:paraId="263A3401" w14:textId="77777777" w:rsidR="00B629AE" w:rsidRPr="00B629AE" w:rsidRDefault="00B629AE" w:rsidP="00B629AE">
      <w:pPr>
        <w:numPr>
          <w:ilvl w:val="0"/>
          <w:numId w:val="6"/>
        </w:numPr>
      </w:pPr>
      <w:r w:rsidRPr="00B629AE">
        <w:t xml:space="preserve">94% heeft voldoende en de overige 6% komt gemiddeld €600 tekort. </w:t>
      </w:r>
    </w:p>
    <w:p w14:paraId="21E9D944" w14:textId="77777777" w:rsidR="00B629AE" w:rsidRPr="00B629AE" w:rsidRDefault="00B629AE" w:rsidP="00B629AE">
      <w:r w:rsidRPr="00B629AE">
        <w:t>Hetzelfde percentage kan dus een heel andere maatschappelijke werkelijkheid verbergen.</w:t>
      </w:r>
    </w:p>
    <w:p w14:paraId="2340C372" w14:textId="77777777" w:rsidR="00B629AE" w:rsidRPr="00B629AE" w:rsidRDefault="00B629AE" w:rsidP="00B629AE">
      <w:pPr>
        <w:rPr>
          <w:b/>
          <w:bCs/>
        </w:rPr>
      </w:pPr>
      <w:r w:rsidRPr="00B629AE">
        <w:rPr>
          <w:b/>
          <w:bCs/>
        </w:rPr>
        <w:t>3. Welk bedrag moet het basisinkomen zijn?</w:t>
      </w:r>
    </w:p>
    <w:p w14:paraId="0696B9AB" w14:textId="77777777" w:rsidR="00B629AE" w:rsidRPr="00B629AE" w:rsidRDefault="00B629AE" w:rsidP="00B629AE">
      <w:r w:rsidRPr="00B629AE">
        <w:t>Ik zou niet vooraf één “wetenschappelijk juist” bedrag uitroepen. We maken een scenariorekening: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529"/>
        <w:gridCol w:w="2411"/>
        <w:gridCol w:w="1775"/>
      </w:tblGrid>
      <w:tr w:rsidR="00B629AE" w:rsidRPr="00B629AE" w14:paraId="6E9B52E5" w14:textId="77777777">
        <w:trPr>
          <w:tblHeader/>
          <w:tblCellSpacing w:w="15" w:type="dxa"/>
        </w:trPr>
        <w:tc>
          <w:tcPr>
            <w:tcW w:w="0" w:type="auto"/>
            <w:vAlign w:val="center"/>
            <w:hideMark/>
          </w:tcPr>
          <w:p w14:paraId="5F5D9303" w14:textId="77777777" w:rsidR="00B629AE" w:rsidRPr="00B629AE" w:rsidRDefault="00B629AE" w:rsidP="00B629AE">
            <w:pPr>
              <w:rPr>
                <w:b/>
                <w:bCs/>
              </w:rPr>
            </w:pPr>
            <w:r w:rsidRPr="00B629AE">
              <w:rPr>
                <w:b/>
                <w:bCs/>
              </w:rPr>
              <w:t>Basisinkomen volwassene</w:t>
            </w:r>
          </w:p>
        </w:tc>
        <w:tc>
          <w:tcPr>
            <w:tcW w:w="0" w:type="auto"/>
            <w:vAlign w:val="center"/>
            <w:hideMark/>
          </w:tcPr>
          <w:p w14:paraId="23DDB548" w14:textId="77777777" w:rsidR="00B629AE" w:rsidRPr="00B629AE" w:rsidRDefault="00B629AE" w:rsidP="00B629AE">
            <w:pPr>
              <w:rPr>
                <w:b/>
                <w:bCs/>
              </w:rPr>
            </w:pPr>
            <w:r w:rsidRPr="00B629AE">
              <w:rPr>
                <w:b/>
                <w:bCs/>
              </w:rPr>
              <w:t>Huishoudens met voldoende</w:t>
            </w:r>
          </w:p>
        </w:tc>
        <w:tc>
          <w:tcPr>
            <w:tcW w:w="0" w:type="auto"/>
            <w:vAlign w:val="center"/>
            <w:hideMark/>
          </w:tcPr>
          <w:p w14:paraId="0B8040CF" w14:textId="77777777" w:rsidR="00B629AE" w:rsidRPr="00B629AE" w:rsidRDefault="00B629AE" w:rsidP="00B629AE">
            <w:pPr>
              <w:rPr>
                <w:b/>
                <w:bCs/>
              </w:rPr>
            </w:pPr>
            <w:r w:rsidRPr="00B629AE">
              <w:rPr>
                <w:b/>
                <w:bCs/>
              </w:rPr>
              <w:t>Gemiddeld resterend tekort</w:t>
            </w:r>
          </w:p>
        </w:tc>
        <w:tc>
          <w:tcPr>
            <w:tcW w:w="0" w:type="auto"/>
            <w:vAlign w:val="center"/>
            <w:hideMark/>
          </w:tcPr>
          <w:p w14:paraId="5242FAC6" w14:textId="77777777" w:rsidR="00B629AE" w:rsidRPr="00B629AE" w:rsidRDefault="00B629AE" w:rsidP="00B629AE">
            <w:pPr>
              <w:rPr>
                <w:b/>
                <w:bCs/>
              </w:rPr>
            </w:pPr>
            <w:r w:rsidRPr="00B629AE">
              <w:rPr>
                <w:b/>
                <w:bCs/>
              </w:rPr>
              <w:t>Bruto jaaruitgaven</w:t>
            </w:r>
          </w:p>
        </w:tc>
      </w:tr>
      <w:tr w:rsidR="00B629AE" w:rsidRPr="00B629AE" w14:paraId="25DC35AB" w14:textId="77777777">
        <w:trPr>
          <w:tblCellSpacing w:w="15" w:type="dxa"/>
        </w:trPr>
        <w:tc>
          <w:tcPr>
            <w:tcW w:w="0" w:type="auto"/>
            <w:vAlign w:val="center"/>
            <w:hideMark/>
          </w:tcPr>
          <w:p w14:paraId="57C81AA5" w14:textId="77777777" w:rsidR="00B629AE" w:rsidRPr="00B629AE" w:rsidRDefault="00B629AE" w:rsidP="00B629AE">
            <w:r w:rsidRPr="00B629AE">
              <w:t>€800</w:t>
            </w:r>
          </w:p>
        </w:tc>
        <w:tc>
          <w:tcPr>
            <w:tcW w:w="0" w:type="auto"/>
            <w:vAlign w:val="center"/>
            <w:hideMark/>
          </w:tcPr>
          <w:p w14:paraId="32B304BC" w14:textId="77777777" w:rsidR="00B629AE" w:rsidRPr="00B629AE" w:rsidRDefault="00B629AE" w:rsidP="00B629AE">
            <w:r w:rsidRPr="00B629AE">
              <w:t>…%</w:t>
            </w:r>
          </w:p>
        </w:tc>
        <w:tc>
          <w:tcPr>
            <w:tcW w:w="0" w:type="auto"/>
            <w:vAlign w:val="center"/>
            <w:hideMark/>
          </w:tcPr>
          <w:p w14:paraId="18C95D24" w14:textId="77777777" w:rsidR="00B629AE" w:rsidRPr="00B629AE" w:rsidRDefault="00B629AE" w:rsidP="00B629AE">
            <w:r w:rsidRPr="00B629AE">
              <w:t>€…</w:t>
            </w:r>
          </w:p>
        </w:tc>
        <w:tc>
          <w:tcPr>
            <w:tcW w:w="0" w:type="auto"/>
            <w:vAlign w:val="center"/>
            <w:hideMark/>
          </w:tcPr>
          <w:p w14:paraId="0006F471" w14:textId="77777777" w:rsidR="00B629AE" w:rsidRPr="00B629AE" w:rsidRDefault="00B629AE" w:rsidP="00B629AE">
            <w:r w:rsidRPr="00B629AE">
              <w:t>€…</w:t>
            </w:r>
          </w:p>
        </w:tc>
      </w:tr>
      <w:tr w:rsidR="00B629AE" w:rsidRPr="00B629AE" w14:paraId="1B369AF1" w14:textId="77777777">
        <w:trPr>
          <w:tblCellSpacing w:w="15" w:type="dxa"/>
        </w:trPr>
        <w:tc>
          <w:tcPr>
            <w:tcW w:w="0" w:type="auto"/>
            <w:vAlign w:val="center"/>
            <w:hideMark/>
          </w:tcPr>
          <w:p w14:paraId="0C03B7D1" w14:textId="77777777" w:rsidR="00B629AE" w:rsidRPr="00B629AE" w:rsidRDefault="00B629AE" w:rsidP="00B629AE">
            <w:r w:rsidRPr="00B629AE">
              <w:t>€1.000</w:t>
            </w:r>
          </w:p>
        </w:tc>
        <w:tc>
          <w:tcPr>
            <w:tcW w:w="0" w:type="auto"/>
            <w:vAlign w:val="center"/>
            <w:hideMark/>
          </w:tcPr>
          <w:p w14:paraId="05AF941D" w14:textId="77777777" w:rsidR="00B629AE" w:rsidRPr="00B629AE" w:rsidRDefault="00B629AE" w:rsidP="00B629AE">
            <w:r w:rsidRPr="00B629AE">
              <w:t>…%</w:t>
            </w:r>
          </w:p>
        </w:tc>
        <w:tc>
          <w:tcPr>
            <w:tcW w:w="0" w:type="auto"/>
            <w:vAlign w:val="center"/>
            <w:hideMark/>
          </w:tcPr>
          <w:p w14:paraId="3BD1BF14" w14:textId="77777777" w:rsidR="00B629AE" w:rsidRPr="00B629AE" w:rsidRDefault="00B629AE" w:rsidP="00B629AE">
            <w:r w:rsidRPr="00B629AE">
              <w:t>€…</w:t>
            </w:r>
          </w:p>
        </w:tc>
        <w:tc>
          <w:tcPr>
            <w:tcW w:w="0" w:type="auto"/>
            <w:vAlign w:val="center"/>
            <w:hideMark/>
          </w:tcPr>
          <w:p w14:paraId="789C31FC" w14:textId="77777777" w:rsidR="00B629AE" w:rsidRPr="00B629AE" w:rsidRDefault="00B629AE" w:rsidP="00B629AE">
            <w:r w:rsidRPr="00B629AE">
              <w:t>€…</w:t>
            </w:r>
          </w:p>
        </w:tc>
      </w:tr>
      <w:tr w:rsidR="00B629AE" w:rsidRPr="00B629AE" w14:paraId="40A15966" w14:textId="77777777">
        <w:trPr>
          <w:tblCellSpacing w:w="15" w:type="dxa"/>
        </w:trPr>
        <w:tc>
          <w:tcPr>
            <w:tcW w:w="0" w:type="auto"/>
            <w:vAlign w:val="center"/>
            <w:hideMark/>
          </w:tcPr>
          <w:p w14:paraId="18E2D5E9" w14:textId="77777777" w:rsidR="00B629AE" w:rsidRPr="00B629AE" w:rsidRDefault="00B629AE" w:rsidP="00B629AE">
            <w:r w:rsidRPr="00B629AE">
              <w:t>€1.200</w:t>
            </w:r>
          </w:p>
        </w:tc>
        <w:tc>
          <w:tcPr>
            <w:tcW w:w="0" w:type="auto"/>
            <w:vAlign w:val="center"/>
            <w:hideMark/>
          </w:tcPr>
          <w:p w14:paraId="513514A0" w14:textId="77777777" w:rsidR="00B629AE" w:rsidRPr="00B629AE" w:rsidRDefault="00B629AE" w:rsidP="00B629AE">
            <w:r w:rsidRPr="00B629AE">
              <w:t>…%</w:t>
            </w:r>
          </w:p>
        </w:tc>
        <w:tc>
          <w:tcPr>
            <w:tcW w:w="0" w:type="auto"/>
            <w:vAlign w:val="center"/>
            <w:hideMark/>
          </w:tcPr>
          <w:p w14:paraId="7C6514D0" w14:textId="77777777" w:rsidR="00B629AE" w:rsidRPr="00B629AE" w:rsidRDefault="00B629AE" w:rsidP="00B629AE">
            <w:r w:rsidRPr="00B629AE">
              <w:t>€…</w:t>
            </w:r>
          </w:p>
        </w:tc>
        <w:tc>
          <w:tcPr>
            <w:tcW w:w="0" w:type="auto"/>
            <w:vAlign w:val="center"/>
            <w:hideMark/>
          </w:tcPr>
          <w:p w14:paraId="4CDC75D5" w14:textId="77777777" w:rsidR="00B629AE" w:rsidRPr="00B629AE" w:rsidRDefault="00B629AE" w:rsidP="00B629AE">
            <w:r w:rsidRPr="00B629AE">
              <w:t>€…</w:t>
            </w:r>
          </w:p>
        </w:tc>
      </w:tr>
      <w:tr w:rsidR="00B629AE" w:rsidRPr="00B629AE" w14:paraId="7A8DFEE5" w14:textId="77777777">
        <w:trPr>
          <w:tblCellSpacing w:w="15" w:type="dxa"/>
        </w:trPr>
        <w:tc>
          <w:tcPr>
            <w:tcW w:w="0" w:type="auto"/>
            <w:vAlign w:val="center"/>
            <w:hideMark/>
          </w:tcPr>
          <w:p w14:paraId="08EF82E9" w14:textId="77777777" w:rsidR="00B629AE" w:rsidRPr="00B629AE" w:rsidRDefault="00B629AE" w:rsidP="00B629AE">
            <w:r w:rsidRPr="00B629AE">
              <w:t>€1.400</w:t>
            </w:r>
          </w:p>
        </w:tc>
        <w:tc>
          <w:tcPr>
            <w:tcW w:w="0" w:type="auto"/>
            <w:vAlign w:val="center"/>
            <w:hideMark/>
          </w:tcPr>
          <w:p w14:paraId="677DEADA" w14:textId="77777777" w:rsidR="00B629AE" w:rsidRPr="00B629AE" w:rsidRDefault="00B629AE" w:rsidP="00B629AE">
            <w:r w:rsidRPr="00B629AE">
              <w:t>…%</w:t>
            </w:r>
          </w:p>
        </w:tc>
        <w:tc>
          <w:tcPr>
            <w:tcW w:w="0" w:type="auto"/>
            <w:vAlign w:val="center"/>
            <w:hideMark/>
          </w:tcPr>
          <w:p w14:paraId="64A78E9A" w14:textId="77777777" w:rsidR="00B629AE" w:rsidRPr="00B629AE" w:rsidRDefault="00B629AE" w:rsidP="00B629AE">
            <w:r w:rsidRPr="00B629AE">
              <w:t>€…</w:t>
            </w:r>
          </w:p>
        </w:tc>
        <w:tc>
          <w:tcPr>
            <w:tcW w:w="0" w:type="auto"/>
            <w:vAlign w:val="center"/>
            <w:hideMark/>
          </w:tcPr>
          <w:p w14:paraId="0B1688E2" w14:textId="77777777" w:rsidR="00B629AE" w:rsidRPr="00B629AE" w:rsidRDefault="00B629AE" w:rsidP="00B629AE">
            <w:r w:rsidRPr="00B629AE">
              <w:t>€…</w:t>
            </w:r>
          </w:p>
        </w:tc>
      </w:tr>
    </w:tbl>
    <w:p w14:paraId="34788B42" w14:textId="77777777" w:rsidR="00B629AE" w:rsidRPr="00B629AE" w:rsidRDefault="00B629AE" w:rsidP="00B629AE">
      <w:r w:rsidRPr="00B629AE">
        <w:t>Vervolgens kunnen we het benodigde bedrag bij een gekozen maatschappelijke doelstelling berekenen:</w:t>
      </w:r>
    </w:p>
    <w:p w14:paraId="0F832464" w14:textId="2E19A177" w:rsidR="00B629AE" w:rsidRPr="00B629AE" w:rsidRDefault="00000000" w:rsidP="00B629AE">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m:t>
                  </m:r>
                </m:sup>
              </m:sSubSup>
              <m:r>
                <w:rPr>
                  <w:rFonts w:ascii="Cambria Math" w:hAnsi="Cambria Math"/>
                </w:rPr>
                <m:t>=</m:t>
              </m:r>
              <m:r>
                <m:rPr>
                  <m:nor/>
                </m:rPr>
                <m:t>laagste </m:t>
              </m:r>
              <m:r>
                <w:rPr>
                  <w:rFonts w:ascii="Cambria Math" w:hAnsi="Cambria Math"/>
                </w:rPr>
                <m:t>b</m:t>
              </m:r>
              <m:r>
                <m:rPr>
                  <m:nor/>
                </m:rPr>
                <m:t> waarbij minstens </m:t>
              </m:r>
              <m:r>
                <w:rPr>
                  <w:rFonts w:ascii="Cambria Math" w:hAnsi="Cambria Math"/>
                </w:rPr>
                <m:t>p%</m:t>
              </m:r>
              <m:r>
                <m:rPr>
                  <m:nor/>
                </m:rPr>
                <m:t> voldoende heeft</m:t>
              </m:r>
            </m:e>
          </m:borderBox>
          <m:r>
            <m:rPr>
              <m:sty m:val="p"/>
            </m:rPr>
            <w:br/>
          </m:r>
        </m:oMath>
      </m:oMathPara>
    </w:p>
    <w:p w14:paraId="3517D9C2" w14:textId="3F11CCE3" w:rsidR="00B629AE" w:rsidRPr="00B629AE" w:rsidRDefault="00B629AE" w:rsidP="00B629AE">
      <w:r w:rsidRPr="00B629AE">
        <w:t xml:space="preserve">De keuze voor </w:t>
      </w:r>
      <m:oMath>
        <m:r>
          <w:rPr>
            <w:rFonts w:ascii="Cambria Math" w:hAnsi="Cambria Math"/>
          </w:rPr>
          <m:t>p</m:t>
        </m:r>
      </m:oMath>
      <w:r w:rsidRPr="00B629AE">
        <w:t>— bijvoorbeeld 90%, 95% of 100% — is geen wiskundig feit. Dat is een democratische keuze.</w:t>
      </w:r>
    </w:p>
    <w:p w14:paraId="6F09C19D" w14:textId="77777777" w:rsidR="00B629AE" w:rsidRPr="00B629AE" w:rsidRDefault="00B629AE" w:rsidP="00B629AE">
      <w:pPr>
        <w:rPr>
          <w:b/>
          <w:bCs/>
        </w:rPr>
      </w:pPr>
      <w:r w:rsidRPr="00B629AE">
        <w:rPr>
          <w:b/>
          <w:bCs/>
        </w:rPr>
        <w:t>4. Kosten voor de overheid</w:t>
      </w:r>
    </w:p>
    <w:p w14:paraId="64559194" w14:textId="77777777" w:rsidR="00B629AE" w:rsidRPr="00B629AE" w:rsidRDefault="00B629AE" w:rsidP="00B629AE">
      <w:r w:rsidRPr="00B629AE">
        <w:t>De bruto jaarlijkse uitgaven zijn eenvoudig:</w:t>
      </w:r>
    </w:p>
    <w:p w14:paraId="41BECA2F" w14:textId="5055B21E"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nor/>
                    </m:rPr>
                    <m:t>bruto</m:t>
                  </m:r>
                </m:sub>
              </m:sSub>
              <m:r>
                <w:rPr>
                  <w:rFonts w:ascii="Cambria Math" w:hAnsi="Cambria Math"/>
                </w:rPr>
                <m:t>=12</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+c</m:t>
                  </m:r>
                  <m:sSub>
                    <m:sSubPr>
                      <m:ctrlPr>
                        <w:rPr>
                          <w:rFonts w:ascii="Cambria Math" w:hAnsi="Cambria Math"/>
                        </w:rPr>
                      </m:ctrlPr>
                    </m:sSubPr>
                    <m:e>
                      <m:r>
                        <w:rPr>
                          <w:rFonts w:ascii="Cambria Math" w:hAnsi="Cambria Math"/>
                        </w:rPr>
                        <m:t>N</m:t>
                      </m:r>
                    </m:e>
                    <m:sub>
                      <m:r>
                        <w:rPr>
                          <w:rFonts w:ascii="Cambria Math" w:hAnsi="Cambria Math"/>
                        </w:rPr>
                        <m:t>k</m:t>
                      </m:r>
                    </m:sub>
                  </m:sSub>
                </m:e>
              </m:d>
            </m:e>
          </m:borderBox>
          <m:r>
            <m:rPr>
              <m:sty m:val="p"/>
            </m:rPr>
            <w:br/>
          </m:r>
        </m:oMath>
      </m:oMathPara>
    </w:p>
    <w:p w14:paraId="4F5F4ABC" w14:textId="77777777" w:rsidR="00B629AE" w:rsidRPr="00B629AE" w:rsidRDefault="00B629AE" w:rsidP="00B629AE">
      <w:r w:rsidRPr="00B629AE">
        <w:t>Waarbij:</w:t>
      </w:r>
    </w:p>
    <w:p w14:paraId="15C2EA16" w14:textId="139F45DD" w:rsidR="00B629AE" w:rsidRPr="00B629AE" w:rsidRDefault="00000000" w:rsidP="00B629AE">
      <w:pPr>
        <w:numPr>
          <w:ilvl w:val="0"/>
          <w:numId w:val="7"/>
        </w:numPr>
      </w:pPr>
      <m:oMath>
        <m:sSub>
          <m:sSubPr>
            <m:ctrlPr>
              <w:rPr>
                <w:rFonts w:ascii="Cambria Math" w:hAnsi="Cambria Math"/>
              </w:rPr>
            </m:ctrlPr>
          </m:sSubPr>
          <m:e>
            <m:r>
              <w:rPr>
                <w:rFonts w:ascii="Cambria Math" w:hAnsi="Cambria Math"/>
              </w:rPr>
              <m:t>N</m:t>
            </m:r>
          </m:e>
          <m:sub>
            <m:r>
              <w:rPr>
                <w:rFonts w:ascii="Cambria Math" w:hAnsi="Cambria Math"/>
              </w:rPr>
              <m:t>a</m:t>
            </m:r>
          </m:sub>
        </m:sSub>
      </m:oMath>
      <w:r w:rsidR="00B629AE" w:rsidRPr="00B629AE">
        <w:t xml:space="preserve">= aantal volwassen ontvangers; </w:t>
      </w:r>
    </w:p>
    <w:p w14:paraId="719B1506" w14:textId="3479E51D" w:rsidR="00B629AE" w:rsidRPr="00B629AE" w:rsidRDefault="00000000" w:rsidP="00B629AE">
      <w:pPr>
        <w:numPr>
          <w:ilvl w:val="0"/>
          <w:numId w:val="7"/>
        </w:numPr>
      </w:pPr>
      <m:oMath>
        <m:sSub>
          <m:sSubPr>
            <m:ctrlPr>
              <w:rPr>
                <w:rFonts w:ascii="Cambria Math" w:hAnsi="Cambria Math"/>
              </w:rPr>
            </m:ctrlPr>
          </m:sSubPr>
          <m:e>
            <m:r>
              <w:rPr>
                <w:rFonts w:ascii="Cambria Math" w:hAnsi="Cambria Math"/>
              </w:rPr>
              <m:t>N</m:t>
            </m:r>
          </m:e>
          <m:sub>
            <m:r>
              <w:rPr>
                <w:rFonts w:ascii="Cambria Math" w:hAnsi="Cambria Math"/>
              </w:rPr>
              <m:t>k</m:t>
            </m:r>
          </m:sub>
        </m:sSub>
      </m:oMath>
      <w:r w:rsidR="00B629AE" w:rsidRPr="00B629AE">
        <w:t xml:space="preserve">= aantal kinderen dat een bedrag ontvangt. </w:t>
      </w:r>
    </w:p>
    <w:p w14:paraId="65826882" w14:textId="77777777" w:rsidR="00B629AE" w:rsidRPr="00B629AE" w:rsidRDefault="00B629AE" w:rsidP="00B629AE">
      <w:r w:rsidRPr="00B629AE">
        <w:t>De netto kosten zijn:</w:t>
      </w:r>
    </w:p>
    <w:p w14:paraId="56F041A1" w14:textId="310DE83C" w:rsidR="00B629AE" w:rsidRPr="00B629AE" w:rsidRDefault="00000000" w:rsidP="00B629A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nor/>
                    </m:rPr>
                    <m:t>netto</m:t>
                  </m:r>
                </m:sub>
              </m:sSub>
              <m:r>
                <w:rPr>
                  <w:rFonts w:ascii="Cambria Math" w:hAnsi="Cambria Math"/>
                </w:rPr>
                <m:t>=</m:t>
              </m:r>
              <m:sSub>
                <m:sSubPr>
                  <m:ctrlPr>
                    <w:rPr>
                      <w:rFonts w:ascii="Cambria Math" w:hAnsi="Cambria Math"/>
                    </w:rPr>
                  </m:ctrlPr>
                </m:sSubPr>
                <m:e>
                  <m:r>
                    <w:rPr>
                      <w:rFonts w:ascii="Cambria Math" w:hAnsi="Cambria Math"/>
                    </w:rPr>
                    <m:t>C</m:t>
                  </m:r>
                </m:e>
                <m:sub>
                  <m:r>
                    <m:rPr>
                      <m:nor/>
                    </m:rPr>
                    <m:t>bruto</m:t>
                  </m:r>
                </m:sub>
              </m:sSub>
              <m:r>
                <w:rPr>
                  <w:rFonts w:ascii="Cambria Math" w:hAnsi="Cambria Math"/>
                </w:rPr>
                <m:t>+</m:t>
              </m:r>
              <m:sSub>
                <m:sSubPr>
                  <m:ctrlPr>
                    <w:rPr>
                      <w:rFonts w:ascii="Cambria Math" w:hAnsi="Cambria Math"/>
                    </w:rPr>
                  </m:ctrlPr>
                </m:sSubPr>
                <m:e>
                  <m:r>
                    <w:rPr>
                      <w:rFonts w:ascii="Cambria Math" w:hAnsi="Cambria Math"/>
                    </w:rPr>
                    <m:t>C</m:t>
                  </m:r>
                </m:e>
                <m:sub>
                  <m:r>
                    <m:rPr>
                      <m:nor/>
                    </m:rPr>
                    <m:t>uitvoering</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belastingen</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vervallen regelingen</m:t>
                  </m:r>
                </m:sub>
              </m:sSub>
            </m:e>
          </m:borderBox>
          <m:r>
            <m:rPr>
              <m:sty m:val="p"/>
            </m:rPr>
            <w:br/>
          </m:r>
        </m:oMath>
      </m:oMathPara>
    </w:p>
    <w:p w14:paraId="5A12A7BC" w14:textId="77777777" w:rsidR="00B629AE" w:rsidRPr="00B629AE" w:rsidRDefault="00B629AE" w:rsidP="00B629AE">
      <w:r w:rsidRPr="00B629AE">
        <w:lastRenderedPageBreak/>
        <w:t>Daarbij moet per scenario expliciet worden vastgelegd:</w:t>
      </w:r>
    </w:p>
    <w:p w14:paraId="18B9C6DE" w14:textId="77777777" w:rsidR="00B629AE" w:rsidRPr="00B629AE" w:rsidRDefault="00B629AE" w:rsidP="00B629AE">
      <w:pPr>
        <w:numPr>
          <w:ilvl w:val="0"/>
          <w:numId w:val="8"/>
        </w:numPr>
      </w:pPr>
      <w:r w:rsidRPr="00B629AE">
        <w:t xml:space="preserve">welke uitkeringen blijven bestaan; </w:t>
      </w:r>
    </w:p>
    <w:p w14:paraId="2A0EF7E2" w14:textId="77777777" w:rsidR="00B629AE" w:rsidRPr="00B629AE" w:rsidRDefault="00B629AE" w:rsidP="00B629AE">
      <w:pPr>
        <w:numPr>
          <w:ilvl w:val="0"/>
          <w:numId w:val="8"/>
        </w:numPr>
      </w:pPr>
      <w:r w:rsidRPr="00B629AE">
        <w:t xml:space="preserve">welke toeslagen verdwijnen; </w:t>
      </w:r>
    </w:p>
    <w:p w14:paraId="1B486CA6" w14:textId="77777777" w:rsidR="00B629AE" w:rsidRPr="00B629AE" w:rsidRDefault="00B629AE" w:rsidP="00B629AE">
      <w:pPr>
        <w:numPr>
          <w:ilvl w:val="0"/>
          <w:numId w:val="8"/>
        </w:numPr>
      </w:pPr>
      <w:r w:rsidRPr="00B629AE">
        <w:t xml:space="preserve">hoe belastingen veranderen; </w:t>
      </w:r>
    </w:p>
    <w:p w14:paraId="447CE416" w14:textId="77777777" w:rsidR="00B629AE" w:rsidRPr="00B629AE" w:rsidRDefault="00B629AE" w:rsidP="00B629AE">
      <w:pPr>
        <w:numPr>
          <w:ilvl w:val="0"/>
          <w:numId w:val="8"/>
        </w:numPr>
      </w:pPr>
      <w:r w:rsidRPr="00B629AE">
        <w:t xml:space="preserve">welke bijzondere ondersteuning noodzakelijk blijft; </w:t>
      </w:r>
    </w:p>
    <w:p w14:paraId="0646FA49" w14:textId="77777777" w:rsidR="00B629AE" w:rsidRPr="00B629AE" w:rsidRDefault="00B629AE" w:rsidP="00B629AE">
      <w:pPr>
        <w:numPr>
          <w:ilvl w:val="0"/>
          <w:numId w:val="8"/>
        </w:numPr>
      </w:pPr>
      <w:r w:rsidRPr="00B629AE">
        <w:t xml:space="preserve">welke uitvoeringskosten vervallen of ontstaan. </w:t>
      </w:r>
    </w:p>
    <w:p w14:paraId="6BFC7146" w14:textId="77777777" w:rsidR="00B629AE" w:rsidRPr="00B629AE" w:rsidRDefault="00B629AE" w:rsidP="00B629AE">
      <w:r w:rsidRPr="00B629AE">
        <w:t>“Basisinkomen maal aantal inwoners” is dus alleen de bruto kasstroom, niet de werkelijke netto beleidsprijs.</w:t>
      </w:r>
    </w:p>
    <w:p w14:paraId="4E927175" w14:textId="77777777" w:rsidR="00B629AE" w:rsidRPr="00B629AE" w:rsidRDefault="00B629AE" w:rsidP="00B629AE">
      <w:pPr>
        <w:rPr>
          <w:b/>
          <w:bCs/>
        </w:rPr>
      </w:pPr>
      <w:r w:rsidRPr="00B629AE">
        <w:rPr>
          <w:b/>
          <w:bCs/>
        </w:rPr>
        <w:t>5. De verbinding tussen beide formules</w:t>
      </w:r>
    </w:p>
    <w:p w14:paraId="6317660D" w14:textId="77777777" w:rsidR="00B629AE" w:rsidRPr="00B629AE" w:rsidRDefault="00B629AE" w:rsidP="00B629AE">
      <w:r w:rsidRPr="00B629AE">
        <w:t>Dit is volgens mij de interessantste ontdekking:</w:t>
      </w:r>
    </w:p>
    <w:p w14:paraId="13B2E4AE" w14:textId="77777777" w:rsidR="00B629AE" w:rsidRPr="00B629AE" w:rsidRDefault="00B629AE" w:rsidP="00B629AE">
      <w:r w:rsidRPr="00B629AE">
        <w:rPr>
          <w:b/>
          <w:bCs/>
        </w:rPr>
        <w:t>Hoe hoger de woonlasten, hoe hoger het basisinkomen moet zijn. En hoe adequater en betaalbaarder de woningvoorraad, hoe lager het benodigde basisinkomen kan zijn.</w:t>
      </w:r>
    </w:p>
    <w:p w14:paraId="50FBA686" w14:textId="77777777" w:rsidR="00B629AE" w:rsidRPr="00B629AE" w:rsidRDefault="00B629AE" w:rsidP="00B629AE">
      <w:r w:rsidRPr="00B629AE">
        <w:t>Daarom kunnen we een gezamenlijke bestaansbasisscore berekenen:</w:t>
      </w:r>
    </w:p>
    <w:p w14:paraId="61304F2D" w14:textId="55E7D75D" w:rsidR="00B629AE" w:rsidRPr="00B629AE" w:rsidRDefault="00000000" w:rsidP="00B629AE">
      <m:oMathPara>
        <m:oMath>
          <m:borderBox>
            <m:borderBoxPr>
              <m:ctrlPr>
                <w:rPr>
                  <w:rFonts w:ascii="Cambria Math" w:hAnsi="Cambria Math"/>
                </w:rPr>
              </m:ctrlPr>
            </m:borderBoxPr>
            <m:e>
              <m:r>
                <w:rPr>
                  <w:rFonts w:ascii="Cambria Math" w:hAnsi="Cambria Math"/>
                </w:rPr>
                <m:t>P=100×</m:t>
              </m:r>
              <m:f>
                <m:fPr>
                  <m:ctrlPr>
                    <w:rPr>
                      <w:rFonts w:ascii="Cambria Math" w:hAnsi="Cambria Math"/>
                    </w:rPr>
                  </m:ctrlPr>
                </m:fPr>
                <m:num>
                  <m:r>
                    <m:rPr>
                      <m:nor/>
                    </m:rPr>
                    <m:t>huishoudens met adequate woning </m:t>
                  </m:r>
                  <m:limUpp>
                    <m:limUppPr>
                      <m:ctrlPr>
                        <w:rPr>
                          <w:rFonts w:ascii="Cambria Math" w:hAnsi="Cambria Math"/>
                        </w:rPr>
                      </m:ctrlPr>
                    </m:limUppPr>
                    <m:e>
                      <m:r>
                        <m:rPr>
                          <m:nor/>
                        </m:rPr>
                        <m:t>e</m:t>
                      </m:r>
                    </m:e>
                    <m:lim>
                      <m:r>
                        <w:rPr>
                          <w:rFonts w:ascii="Cambria Math" w:hAnsi="Cambria Math"/>
                        </w:rPr>
                        <m:t>ˊ</m:t>
                      </m:r>
                    </m:lim>
                  </m:limUpp>
                  <m:r>
                    <m:rPr>
                      <m:nor/>
                    </m:rPr>
                    <m:t>n </m:t>
                  </m:r>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≥0</m:t>
                  </m:r>
                </m:num>
                <m:den>
                  <m:r>
                    <m:rPr>
                      <m:nor/>
                    </m:rPr>
                    <m:t>alle huishoudens</m:t>
                  </m:r>
                </m:den>
              </m:f>
            </m:e>
          </m:borderBox>
          <m:r>
            <m:rPr>
              <m:sty m:val="p"/>
            </m:rPr>
            <w:br/>
          </m:r>
        </m:oMath>
      </m:oMathPara>
    </w:p>
    <w:p w14:paraId="155A4BCA" w14:textId="77777777" w:rsidR="00B629AE" w:rsidRPr="00B629AE" w:rsidRDefault="00B629AE" w:rsidP="00B629AE">
      <w:r w:rsidRPr="00B629AE">
        <w:t>Dit meet niet alleen of mensen geld krijgen of dat er voldoende stenen staan, maar:</w:t>
      </w:r>
    </w:p>
    <w:p w14:paraId="441A4113" w14:textId="77777777" w:rsidR="00B629AE" w:rsidRPr="00B629AE" w:rsidRDefault="00B629AE" w:rsidP="00B629AE">
      <w:r w:rsidRPr="00B629AE">
        <w:t>Welk deel van de bevolking beschikt daadwerkelijk over een adequate woning én voldoende inkomen om behoorlijk te leven?</w:t>
      </w:r>
    </w:p>
    <w:p w14:paraId="3E3F54B0" w14:textId="77777777" w:rsidR="00B629AE" w:rsidRPr="00B629AE" w:rsidRDefault="00B629AE" w:rsidP="00B629AE">
      <w:pPr>
        <w:rPr>
          <w:b/>
          <w:bCs/>
        </w:rPr>
      </w:pPr>
      <w:r w:rsidRPr="00B629AE">
        <w:rPr>
          <w:b/>
          <w:bCs/>
        </w:rPr>
        <w:t>Benodigde gegevens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6747"/>
      </w:tblGrid>
      <w:tr w:rsidR="00B629AE" w:rsidRPr="00B629AE" w14:paraId="7EFCE7B1" w14:textId="77777777">
        <w:trPr>
          <w:tblHeader/>
          <w:tblCellSpacing w:w="15" w:type="dxa"/>
        </w:trPr>
        <w:tc>
          <w:tcPr>
            <w:tcW w:w="0" w:type="auto"/>
            <w:vAlign w:val="center"/>
            <w:hideMark/>
          </w:tcPr>
          <w:p w14:paraId="1EA0B52A" w14:textId="77777777" w:rsidR="00B629AE" w:rsidRPr="00B629AE" w:rsidRDefault="00B629AE" w:rsidP="00B629AE">
            <w:pPr>
              <w:rPr>
                <w:b/>
                <w:bCs/>
              </w:rPr>
            </w:pPr>
            <w:r w:rsidRPr="00B629AE">
              <w:rPr>
                <w:b/>
                <w:bCs/>
              </w:rPr>
              <w:t>Onderdeel</w:t>
            </w:r>
          </w:p>
        </w:tc>
        <w:tc>
          <w:tcPr>
            <w:tcW w:w="0" w:type="auto"/>
            <w:vAlign w:val="center"/>
            <w:hideMark/>
          </w:tcPr>
          <w:p w14:paraId="1652BBD7" w14:textId="77777777" w:rsidR="00B629AE" w:rsidRPr="00B629AE" w:rsidRDefault="00B629AE" w:rsidP="00B629AE">
            <w:pPr>
              <w:rPr>
                <w:b/>
                <w:bCs/>
              </w:rPr>
            </w:pPr>
            <w:r w:rsidRPr="00B629AE">
              <w:rPr>
                <w:b/>
                <w:bCs/>
              </w:rPr>
              <w:t>Benodigde gegevens</w:t>
            </w:r>
          </w:p>
        </w:tc>
      </w:tr>
      <w:tr w:rsidR="00B629AE" w:rsidRPr="00B629AE" w14:paraId="41DE9BDE" w14:textId="77777777">
        <w:trPr>
          <w:tblCellSpacing w:w="15" w:type="dxa"/>
        </w:trPr>
        <w:tc>
          <w:tcPr>
            <w:tcW w:w="0" w:type="auto"/>
            <w:vAlign w:val="center"/>
            <w:hideMark/>
          </w:tcPr>
          <w:p w14:paraId="4751612B" w14:textId="77777777" w:rsidR="00B629AE" w:rsidRPr="00B629AE" w:rsidRDefault="00B629AE" w:rsidP="00B629AE">
            <w:r w:rsidRPr="00B629AE">
              <w:t>Huishoudens</w:t>
            </w:r>
          </w:p>
        </w:tc>
        <w:tc>
          <w:tcPr>
            <w:tcW w:w="0" w:type="auto"/>
            <w:vAlign w:val="center"/>
            <w:hideMark/>
          </w:tcPr>
          <w:p w14:paraId="18098FCE" w14:textId="77777777" w:rsidR="00B629AE" w:rsidRPr="00B629AE" w:rsidRDefault="00B629AE" w:rsidP="00B629AE">
            <w:r w:rsidRPr="00B629AE">
              <w:t>aantal, samenstelling, regio, inkomen, leeftijd, beperkingen en woningbehoefte</w:t>
            </w:r>
          </w:p>
        </w:tc>
      </w:tr>
      <w:tr w:rsidR="00B629AE" w:rsidRPr="00B629AE" w14:paraId="7956A331" w14:textId="77777777">
        <w:trPr>
          <w:tblCellSpacing w:w="15" w:type="dxa"/>
        </w:trPr>
        <w:tc>
          <w:tcPr>
            <w:tcW w:w="0" w:type="auto"/>
            <w:vAlign w:val="center"/>
            <w:hideMark/>
          </w:tcPr>
          <w:p w14:paraId="140E58CF" w14:textId="77777777" w:rsidR="00B629AE" w:rsidRPr="00B629AE" w:rsidRDefault="00B629AE" w:rsidP="00B629AE">
            <w:r w:rsidRPr="00B629AE">
              <w:t>Woningen</w:t>
            </w:r>
          </w:p>
        </w:tc>
        <w:tc>
          <w:tcPr>
            <w:tcW w:w="0" w:type="auto"/>
            <w:vAlign w:val="center"/>
            <w:hideMark/>
          </w:tcPr>
          <w:p w14:paraId="0571C9C8" w14:textId="77777777" w:rsidR="00B629AE" w:rsidRPr="00B629AE" w:rsidRDefault="00B629AE" w:rsidP="00B629AE">
            <w:r w:rsidRPr="00B629AE">
              <w:t>beschikbaarheid, prijs, woonlasten, oppervlakte, kamers, toegankelijkheid, kwaliteit, veiligheid en locatie</w:t>
            </w:r>
          </w:p>
        </w:tc>
      </w:tr>
      <w:tr w:rsidR="00B629AE" w:rsidRPr="00B629AE" w14:paraId="20D4FB8D" w14:textId="77777777">
        <w:trPr>
          <w:tblCellSpacing w:w="15" w:type="dxa"/>
        </w:trPr>
        <w:tc>
          <w:tcPr>
            <w:tcW w:w="0" w:type="auto"/>
            <w:vAlign w:val="center"/>
            <w:hideMark/>
          </w:tcPr>
          <w:p w14:paraId="0BBF8F15" w14:textId="77777777" w:rsidR="00B629AE" w:rsidRPr="00B629AE" w:rsidRDefault="00B629AE" w:rsidP="00B629AE">
            <w:r w:rsidRPr="00B629AE">
              <w:t>Inkomen</w:t>
            </w:r>
          </w:p>
        </w:tc>
        <w:tc>
          <w:tcPr>
            <w:tcW w:w="0" w:type="auto"/>
            <w:vAlign w:val="center"/>
            <w:hideMark/>
          </w:tcPr>
          <w:p w14:paraId="4EE0CAE8" w14:textId="77777777" w:rsidR="00B629AE" w:rsidRPr="00B629AE" w:rsidRDefault="00B629AE" w:rsidP="00B629AE">
            <w:r w:rsidRPr="00B629AE">
              <w:t>besteedbaar inkomen, belastingen, uitkeringen en toeslagen per huishouden</w:t>
            </w:r>
          </w:p>
        </w:tc>
      </w:tr>
      <w:tr w:rsidR="00B629AE" w:rsidRPr="00B629AE" w14:paraId="26CC57D7" w14:textId="77777777">
        <w:trPr>
          <w:tblCellSpacing w:w="15" w:type="dxa"/>
        </w:trPr>
        <w:tc>
          <w:tcPr>
            <w:tcW w:w="0" w:type="auto"/>
            <w:vAlign w:val="center"/>
            <w:hideMark/>
          </w:tcPr>
          <w:p w14:paraId="25C31ED3" w14:textId="77777777" w:rsidR="00B629AE" w:rsidRPr="00B629AE" w:rsidRDefault="00B629AE" w:rsidP="00B629AE">
            <w:r w:rsidRPr="00B629AE">
              <w:t>Minimumbehoefte</w:t>
            </w:r>
          </w:p>
        </w:tc>
        <w:tc>
          <w:tcPr>
            <w:tcW w:w="0" w:type="auto"/>
            <w:vAlign w:val="center"/>
            <w:hideMark/>
          </w:tcPr>
          <w:p w14:paraId="49824CE2" w14:textId="77777777" w:rsidR="00B629AE" w:rsidRPr="00B629AE" w:rsidRDefault="00B629AE" w:rsidP="00B629AE">
            <w:r w:rsidRPr="00B629AE">
              <w:t>noodzakelijke uitgaven per huishoudenstype</w:t>
            </w:r>
          </w:p>
        </w:tc>
      </w:tr>
      <w:tr w:rsidR="00B629AE" w:rsidRPr="00B629AE" w14:paraId="60E271D9" w14:textId="77777777">
        <w:trPr>
          <w:tblCellSpacing w:w="15" w:type="dxa"/>
        </w:trPr>
        <w:tc>
          <w:tcPr>
            <w:tcW w:w="0" w:type="auto"/>
            <w:vAlign w:val="center"/>
            <w:hideMark/>
          </w:tcPr>
          <w:p w14:paraId="08528F80" w14:textId="77777777" w:rsidR="00B629AE" w:rsidRPr="00B629AE" w:rsidRDefault="00B629AE" w:rsidP="00B629AE">
            <w:r w:rsidRPr="00B629AE">
              <w:t>Basisinkomensscenario</w:t>
            </w:r>
          </w:p>
        </w:tc>
        <w:tc>
          <w:tcPr>
            <w:tcW w:w="0" w:type="auto"/>
            <w:vAlign w:val="center"/>
            <w:hideMark/>
          </w:tcPr>
          <w:p w14:paraId="6257E469" w14:textId="77777777" w:rsidR="00B629AE" w:rsidRPr="00B629AE" w:rsidRDefault="00B629AE" w:rsidP="00B629AE">
            <w:r w:rsidRPr="00B629AE">
              <w:t>bedrag per volwassene en kind, blijvende en vervallende regelingen</w:t>
            </w:r>
          </w:p>
        </w:tc>
      </w:tr>
      <w:tr w:rsidR="00B629AE" w:rsidRPr="00B629AE" w14:paraId="226712D1" w14:textId="77777777">
        <w:trPr>
          <w:tblCellSpacing w:w="15" w:type="dxa"/>
        </w:trPr>
        <w:tc>
          <w:tcPr>
            <w:tcW w:w="0" w:type="auto"/>
            <w:vAlign w:val="center"/>
            <w:hideMark/>
          </w:tcPr>
          <w:p w14:paraId="6A368CA3" w14:textId="77777777" w:rsidR="00B629AE" w:rsidRPr="00B629AE" w:rsidRDefault="00B629AE" w:rsidP="00B629AE">
            <w:r w:rsidRPr="00B629AE">
              <w:lastRenderedPageBreak/>
              <w:t>Overheidskosten</w:t>
            </w:r>
          </w:p>
        </w:tc>
        <w:tc>
          <w:tcPr>
            <w:tcW w:w="0" w:type="auto"/>
            <w:vAlign w:val="center"/>
            <w:hideMark/>
          </w:tcPr>
          <w:p w14:paraId="49BE3E41" w14:textId="77777777" w:rsidR="00B629AE" w:rsidRPr="00B629AE" w:rsidRDefault="00B629AE" w:rsidP="00B629AE">
            <w:r w:rsidRPr="00B629AE">
              <w:t>aantallen ontvangers, uitvoeringskosten, belastingopbrengsten en besparingen</w:t>
            </w:r>
          </w:p>
        </w:tc>
      </w:tr>
    </w:tbl>
    <w:p w14:paraId="67498F2D" w14:textId="77777777" w:rsidR="00B629AE" w:rsidRPr="00B629AE" w:rsidRDefault="00B629AE" w:rsidP="00B629AE">
      <w:r w:rsidRPr="00B629AE">
        <w:t xml:space="preserve">Veel hiervan bestaat al. WoON bevat informatie over woonsituatie, woonwensen en woonlasten; CBS Woonbase combineert inkomen, vermogen en woonlasten; BAG bevat onder meer oppervlakte, gebruiksdoel en bouwjaar; EP-Online bevat energieprestaties. </w:t>
      </w:r>
      <w:hyperlink r:id="rId7" w:tgtFrame="_new" w:history="1">
        <w:r w:rsidRPr="00B629AE">
          <w:rPr>
            <w:rStyle w:val="Hyperlink"/>
          </w:rPr>
          <w:t>WoON 2024</w:t>
        </w:r>
      </w:hyperlink>
      <w:r w:rsidRPr="00B629AE">
        <w:t xml:space="preserve">, </w:t>
      </w:r>
      <w:hyperlink r:id="rId8" w:tgtFrame="_new" w:history="1">
        <w:r w:rsidRPr="00B629AE">
          <w:rPr>
            <w:rStyle w:val="Hyperlink"/>
          </w:rPr>
          <w:t>CBS Woonbase</w:t>
        </w:r>
      </w:hyperlink>
      <w:r w:rsidRPr="00B629AE">
        <w:t xml:space="preserve">, </w:t>
      </w:r>
      <w:hyperlink r:id="rId9" w:tgtFrame="_new" w:history="1">
        <w:r w:rsidRPr="00B629AE">
          <w:rPr>
            <w:rStyle w:val="Hyperlink"/>
          </w:rPr>
          <w:t>BAG</w:t>
        </w:r>
      </w:hyperlink>
      <w:r w:rsidRPr="00B629AE">
        <w:t xml:space="preserve">, </w:t>
      </w:r>
      <w:hyperlink r:id="rId10" w:tgtFrame="_new" w:history="1">
        <w:r w:rsidRPr="00B629AE">
          <w:rPr>
            <w:rStyle w:val="Hyperlink"/>
          </w:rPr>
          <w:t>EP-Online</w:t>
        </w:r>
      </w:hyperlink>
      <w:r w:rsidRPr="00B629AE">
        <w:t>.</w:t>
      </w:r>
    </w:p>
    <w:p w14:paraId="0C06947B" w14:textId="77777777" w:rsidR="00B629AE" w:rsidRPr="00B629AE" w:rsidRDefault="00B629AE" w:rsidP="00B629AE">
      <w:r w:rsidRPr="00B629AE">
        <w:t xml:space="preserve">Dit zou ik als rekenmethode 0.1 vastzetten: </w:t>
      </w:r>
      <w:r w:rsidRPr="00B629AE">
        <w:rPr>
          <w:b/>
          <w:bCs/>
        </w:rPr>
        <w:t>woningdekking, woningtekort, inkomensdekking, resterend tekort en bruto/netto beleidskosten</w:t>
      </w:r>
      <w:r w:rsidRPr="00B629AE">
        <w:t>. Zo bepaalt de politiek de normen, leveren deskundigen de gegevens en laat de som controleerbaar zien wat een beleidskeuze werkelijk oplevert.</w:t>
      </w:r>
    </w:p>
    <w:p w14:paraId="737AF212" w14:textId="77777777" w:rsidR="00B629AE" w:rsidRPr="00B629AE" w:rsidRDefault="00B629AE" w:rsidP="00B629AE">
      <w:r w:rsidRPr="00B629AE">
        <w:t>top/ laten we rekenmethode 0.1 maken</w:t>
      </w:r>
    </w:p>
    <w:p w14:paraId="51E44722" w14:textId="77777777" w:rsidR="00685967" w:rsidRPr="00685967" w:rsidRDefault="00685967" w:rsidP="00685967">
      <w:r w:rsidRPr="00685967">
        <w:t>rekenmethode 0.1 is klaar.</w:t>
      </w:r>
    </w:p>
    <w:p w14:paraId="3D89CCA0" w14:textId="77777777" w:rsidR="00685967" w:rsidRPr="00685967" w:rsidRDefault="00685967" w:rsidP="00685967">
      <w:pPr>
        <w:numPr>
          <w:ilvl w:val="0"/>
          <w:numId w:val="9"/>
        </w:numPr>
      </w:pPr>
      <w:r w:rsidRPr="00685967">
        <w:t xml:space="preserve">Officiële methodenbeschrijving v0.1 </w:t>
      </w:r>
    </w:p>
    <w:p w14:paraId="6A7BF7D4" w14:textId="77777777" w:rsidR="00685967" w:rsidRPr="00685967" w:rsidRDefault="00685967" w:rsidP="00685967">
      <w:pPr>
        <w:numPr>
          <w:ilvl w:val="0"/>
          <w:numId w:val="9"/>
        </w:numPr>
      </w:pPr>
      <w:r w:rsidRPr="00685967">
        <w:t xml:space="preserve">Invulbaar Excel-rekenmodel v0.1 </w:t>
      </w:r>
    </w:p>
    <w:p w14:paraId="30DF7AD3" w14:textId="77777777" w:rsidR="00685967" w:rsidRPr="00685967" w:rsidRDefault="00685967" w:rsidP="00685967">
      <w:r w:rsidRPr="00685967">
        <w:t>Het Excelbestand bevat aparte werkbladen voor:</w:t>
      </w:r>
    </w:p>
    <w:p w14:paraId="0877BF55" w14:textId="77777777" w:rsidR="00685967" w:rsidRPr="00685967" w:rsidRDefault="00685967" w:rsidP="00685967">
      <w:pPr>
        <w:numPr>
          <w:ilvl w:val="0"/>
          <w:numId w:val="10"/>
        </w:numPr>
      </w:pPr>
      <w:r w:rsidRPr="00685967">
        <w:t xml:space="preserve">normen en basisinkomenscenario’s; </w:t>
      </w:r>
    </w:p>
    <w:p w14:paraId="74F3C8B6" w14:textId="77777777" w:rsidR="00685967" w:rsidRPr="00685967" w:rsidRDefault="00685967" w:rsidP="00685967">
      <w:pPr>
        <w:numPr>
          <w:ilvl w:val="0"/>
          <w:numId w:val="10"/>
        </w:numPr>
      </w:pPr>
      <w:r w:rsidRPr="00685967">
        <w:t xml:space="preserve">adequate woningvoorraad per woninggroep; </w:t>
      </w:r>
    </w:p>
    <w:p w14:paraId="4767EE18" w14:textId="77777777" w:rsidR="00685967" w:rsidRPr="00685967" w:rsidRDefault="00685967" w:rsidP="00685967">
      <w:pPr>
        <w:numPr>
          <w:ilvl w:val="0"/>
          <w:numId w:val="10"/>
        </w:numPr>
      </w:pPr>
      <w:r w:rsidRPr="00685967">
        <w:t xml:space="preserve">toereikendheid per huishoudtype; </w:t>
      </w:r>
    </w:p>
    <w:p w14:paraId="7925F1D9" w14:textId="77777777" w:rsidR="00685967" w:rsidRPr="00685967" w:rsidRDefault="00685967" w:rsidP="00685967">
      <w:pPr>
        <w:numPr>
          <w:ilvl w:val="0"/>
          <w:numId w:val="10"/>
        </w:numPr>
      </w:pPr>
      <w:r w:rsidRPr="00685967">
        <w:t xml:space="preserve">bruto en netto financiering; </w:t>
      </w:r>
    </w:p>
    <w:p w14:paraId="3FBBF796" w14:textId="77777777" w:rsidR="00685967" w:rsidRPr="00685967" w:rsidRDefault="00685967" w:rsidP="00685967">
      <w:pPr>
        <w:numPr>
          <w:ilvl w:val="0"/>
          <w:numId w:val="10"/>
        </w:numPr>
      </w:pPr>
      <w:r w:rsidRPr="00685967">
        <w:t xml:space="preserve">gezamenlijke bestaansbasis; </w:t>
      </w:r>
    </w:p>
    <w:p w14:paraId="291602BF" w14:textId="77777777" w:rsidR="00685967" w:rsidRPr="00685967" w:rsidRDefault="00685967" w:rsidP="00685967">
      <w:pPr>
        <w:numPr>
          <w:ilvl w:val="0"/>
          <w:numId w:val="10"/>
        </w:numPr>
      </w:pPr>
      <w:r w:rsidRPr="00685967">
        <w:t xml:space="preserve">bronnen, invulinstructies en gegevenskwaliteit. </w:t>
      </w:r>
    </w:p>
    <w:p w14:paraId="4C741747" w14:textId="77777777" w:rsidR="00685967" w:rsidRPr="00685967" w:rsidRDefault="00685967" w:rsidP="00685967">
      <w:r w:rsidRPr="00685967">
        <w:t>De gele cellen zijn invoervelden; de lichtblauwe cellen worden automatisch berekend. De aanwezige cijfers zijn nadrukkelijk illustratief en geen beoordeling van Nederland. Alle formules en controletotalen zijn getest en werken zonder fouten.</w:t>
      </w:r>
    </w:p>
    <w:p w14:paraId="41C8E1FF" w14:textId="77777777" w:rsidR="0068453D" w:rsidRDefault="0068453D"/>
    <w:p w14:paraId="48FBEA9B" w14:textId="77777777" w:rsidR="00685967" w:rsidRDefault="00685967"/>
    <w:p w14:paraId="330B71F5" w14:textId="71F06840" w:rsidR="00685967" w:rsidRDefault="00685967">
      <w:r>
        <w:t>Bijlagen: rekenmethode en rekenmodel</w:t>
      </w:r>
    </w:p>
    <w:sectPr w:rsidR="006859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D8B"/>
    <w:multiLevelType w:val="multilevel"/>
    <w:tmpl w:val="5BF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746CE"/>
    <w:multiLevelType w:val="multilevel"/>
    <w:tmpl w:val="FE0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E5C49"/>
    <w:multiLevelType w:val="multilevel"/>
    <w:tmpl w:val="2A5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32E23"/>
    <w:multiLevelType w:val="multilevel"/>
    <w:tmpl w:val="6674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17991"/>
    <w:multiLevelType w:val="multilevel"/>
    <w:tmpl w:val="14A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16848"/>
    <w:multiLevelType w:val="multilevel"/>
    <w:tmpl w:val="9CA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31590"/>
    <w:multiLevelType w:val="multilevel"/>
    <w:tmpl w:val="B02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373AB"/>
    <w:multiLevelType w:val="multilevel"/>
    <w:tmpl w:val="4EF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C1E28"/>
    <w:multiLevelType w:val="multilevel"/>
    <w:tmpl w:val="368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84512"/>
    <w:multiLevelType w:val="multilevel"/>
    <w:tmpl w:val="FA2E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729076">
    <w:abstractNumId w:val="7"/>
  </w:num>
  <w:num w:numId="2" w16cid:durableId="1892494248">
    <w:abstractNumId w:val="2"/>
  </w:num>
  <w:num w:numId="3" w16cid:durableId="2036037700">
    <w:abstractNumId w:val="9"/>
  </w:num>
  <w:num w:numId="4" w16cid:durableId="376394796">
    <w:abstractNumId w:val="0"/>
  </w:num>
  <w:num w:numId="5" w16cid:durableId="665667331">
    <w:abstractNumId w:val="8"/>
  </w:num>
  <w:num w:numId="6" w16cid:durableId="1280648505">
    <w:abstractNumId w:val="3"/>
  </w:num>
  <w:num w:numId="7" w16cid:durableId="1614091795">
    <w:abstractNumId w:val="4"/>
  </w:num>
  <w:num w:numId="8" w16cid:durableId="2121416587">
    <w:abstractNumId w:val="6"/>
  </w:num>
  <w:num w:numId="9" w16cid:durableId="623080613">
    <w:abstractNumId w:val="1"/>
  </w:num>
  <w:num w:numId="10" w16cid:durableId="108857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AE"/>
    <w:rsid w:val="00052CC0"/>
    <w:rsid w:val="002302F5"/>
    <w:rsid w:val="003E2087"/>
    <w:rsid w:val="0068453D"/>
    <w:rsid w:val="00685967"/>
    <w:rsid w:val="00B629AE"/>
    <w:rsid w:val="00CE18F8"/>
    <w:rsid w:val="00D32A9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9248"/>
  <w15:chartTrackingRefBased/>
  <w15:docId w15:val="{B7AF6827-546D-40D8-B653-C173ED11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kern w:val="2"/>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32A97"/>
    <w:pPr>
      <w:spacing w:after="160" w:line="278" w:lineRule="auto"/>
    </w:pPr>
    <w:rPr>
      <w:sz w:val="24"/>
      <w:szCs w:val="24"/>
      <w:lang w:eastAsia="nl-NL"/>
      <w14:ligatures w14:val="none"/>
    </w:rPr>
  </w:style>
  <w:style w:type="paragraph" w:styleId="Kop1">
    <w:name w:val="heading 1"/>
    <w:basedOn w:val="Standaard"/>
    <w:next w:val="Standaard"/>
    <w:link w:val="Kop1Char"/>
    <w:uiPriority w:val="9"/>
    <w:qFormat/>
    <w:rsid w:val="00D32A97"/>
    <w:pPr>
      <w:keepNext/>
      <w:spacing w:before="240" w:after="60"/>
      <w:outlineLvl w:val="0"/>
    </w:pPr>
    <w:rPr>
      <w:rFonts w:ascii="Arial" w:hAnsi="Arial"/>
      <w:b/>
      <w:bCs/>
      <w:kern w:val="32"/>
      <w:sz w:val="32"/>
      <w:szCs w:val="32"/>
    </w:rPr>
  </w:style>
  <w:style w:type="paragraph" w:styleId="Kop2">
    <w:name w:val="heading 2"/>
    <w:basedOn w:val="Standaard"/>
    <w:next w:val="Standaard"/>
    <w:link w:val="Kop2Char"/>
    <w:uiPriority w:val="9"/>
    <w:unhideWhenUsed/>
    <w:qFormat/>
    <w:rsid w:val="00D32A97"/>
    <w:pPr>
      <w:keepNext/>
      <w:spacing w:before="240" w:after="60"/>
      <w:outlineLvl w:val="1"/>
    </w:pPr>
    <w:rPr>
      <w:rFonts w:ascii="Arial" w:hAnsi="Arial"/>
      <w:b/>
      <w:bCs/>
      <w:i/>
      <w:iCs/>
      <w:sz w:val="28"/>
      <w:szCs w:val="28"/>
    </w:rPr>
  </w:style>
  <w:style w:type="paragraph" w:styleId="Kop3">
    <w:name w:val="heading 3"/>
    <w:basedOn w:val="Standaard"/>
    <w:next w:val="Standaard"/>
    <w:link w:val="Kop3Char"/>
    <w:uiPriority w:val="9"/>
    <w:unhideWhenUsed/>
    <w:qFormat/>
    <w:rsid w:val="00D32A97"/>
    <w:pPr>
      <w:keepNext/>
      <w:spacing w:before="240" w:after="60"/>
      <w:outlineLvl w:val="2"/>
    </w:pPr>
    <w:rPr>
      <w:rFonts w:ascii="Arial" w:hAnsi="Arial"/>
      <w:b/>
      <w:bCs/>
      <w:sz w:val="26"/>
      <w:szCs w:val="26"/>
    </w:rPr>
  </w:style>
  <w:style w:type="paragraph" w:styleId="Kop4">
    <w:name w:val="heading 4"/>
    <w:basedOn w:val="Standaard"/>
    <w:next w:val="Standaard"/>
    <w:link w:val="Kop4Char"/>
    <w:uiPriority w:val="9"/>
    <w:unhideWhenUsed/>
    <w:qFormat/>
    <w:rsid w:val="00D32A97"/>
    <w:pPr>
      <w:keepNext/>
      <w:spacing w:before="240" w:after="60"/>
      <w:outlineLvl w:val="3"/>
    </w:pPr>
    <w:rPr>
      <w:rFonts w:ascii="Arial" w:hAnsi="Arial"/>
      <w:b/>
      <w:bCs/>
      <w:szCs w:val="28"/>
    </w:rPr>
  </w:style>
  <w:style w:type="paragraph" w:styleId="Kop5">
    <w:name w:val="heading 5"/>
    <w:basedOn w:val="Standaard"/>
    <w:next w:val="Standaard"/>
    <w:link w:val="Kop5Char"/>
    <w:uiPriority w:val="9"/>
    <w:unhideWhenUsed/>
    <w:qFormat/>
    <w:rsid w:val="00D32A97"/>
    <w:pPr>
      <w:spacing w:before="240" w:after="60"/>
      <w:outlineLvl w:val="4"/>
    </w:pPr>
    <w:rPr>
      <w:rFonts w:ascii="Arial" w:hAnsi="Arial"/>
      <w:b/>
      <w:bCs/>
      <w:i/>
      <w:iCs/>
      <w:sz w:val="30"/>
      <w:szCs w:val="26"/>
    </w:rPr>
  </w:style>
  <w:style w:type="paragraph" w:styleId="Kop6">
    <w:name w:val="heading 6"/>
    <w:basedOn w:val="Standaard"/>
    <w:next w:val="Standaard"/>
    <w:link w:val="Kop6Char"/>
    <w:uiPriority w:val="9"/>
    <w:unhideWhenUsed/>
    <w:qFormat/>
    <w:rsid w:val="00D32A97"/>
    <w:pPr>
      <w:spacing w:before="240" w:after="60"/>
      <w:outlineLvl w:val="5"/>
    </w:pPr>
    <w:rPr>
      <w:rFonts w:ascii="Arial" w:hAnsi="Arial"/>
      <w:b/>
      <w:bCs/>
      <w:sz w:val="28"/>
      <w:szCs w:val="22"/>
    </w:rPr>
  </w:style>
  <w:style w:type="paragraph" w:styleId="Kop7">
    <w:name w:val="heading 7"/>
    <w:basedOn w:val="Standaard"/>
    <w:next w:val="Standaard"/>
    <w:link w:val="Kop7Char"/>
    <w:uiPriority w:val="9"/>
    <w:semiHidden/>
    <w:unhideWhenUsed/>
    <w:qFormat/>
    <w:rsid w:val="00B629AE"/>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B629AE"/>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B629AE"/>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Eindnootmarkering">
    <w:name w:val="endnote reference"/>
    <w:uiPriority w:val="99"/>
    <w:semiHidden/>
    <w:unhideWhenUsed/>
    <w:rsid w:val="00D32A97"/>
    <w:rPr>
      <w:vertAlign w:val="superscript"/>
    </w:rPr>
  </w:style>
  <w:style w:type="paragraph" w:styleId="Eindnoottekst">
    <w:name w:val="endnote text"/>
    <w:basedOn w:val="Standaard"/>
    <w:link w:val="EindnoottekstChar"/>
    <w:uiPriority w:val="99"/>
    <w:semiHidden/>
    <w:unhideWhenUsed/>
    <w:rsid w:val="00D32A97"/>
    <w:rPr>
      <w:sz w:val="20"/>
      <w:szCs w:val="20"/>
    </w:rPr>
  </w:style>
  <w:style w:type="character" w:customStyle="1" w:styleId="EindnoottekstChar">
    <w:name w:val="Eindnoottekst Char"/>
    <w:link w:val="Eindnoottekst"/>
    <w:uiPriority w:val="99"/>
    <w:semiHidden/>
    <w:rsid w:val="00D32A97"/>
    <w:rPr>
      <w:rFonts w:eastAsia="Times New Roman"/>
      <w:lang w:eastAsia="nl-NL"/>
      <w14:ligatures w14:val="none"/>
    </w:rPr>
  </w:style>
  <w:style w:type="character" w:styleId="GevolgdeHyperlink">
    <w:name w:val="FollowedHyperlink"/>
    <w:uiPriority w:val="99"/>
    <w:semiHidden/>
    <w:unhideWhenUsed/>
    <w:rsid w:val="00D32A97"/>
    <w:rPr>
      <w:color w:val="96607D"/>
      <w:u w:val="single"/>
    </w:rPr>
  </w:style>
  <w:style w:type="character" w:styleId="Hyperlink">
    <w:name w:val="Hyperlink"/>
    <w:uiPriority w:val="99"/>
    <w:unhideWhenUsed/>
    <w:rsid w:val="00D32A97"/>
    <w:rPr>
      <w:color w:val="467886"/>
      <w:u w:val="single"/>
    </w:rPr>
  </w:style>
  <w:style w:type="paragraph" w:styleId="Inhopg1">
    <w:name w:val="toc 1"/>
    <w:basedOn w:val="Standaard"/>
    <w:next w:val="Standaard"/>
    <w:autoRedefine/>
    <w:uiPriority w:val="39"/>
    <w:unhideWhenUsed/>
    <w:rsid w:val="00D32A97"/>
    <w:pPr>
      <w:spacing w:before="120" w:after="120"/>
    </w:pPr>
    <w:rPr>
      <w:b/>
      <w:bCs/>
      <w:caps/>
      <w:sz w:val="20"/>
      <w:szCs w:val="20"/>
    </w:rPr>
  </w:style>
  <w:style w:type="paragraph" w:styleId="Inhopg2">
    <w:name w:val="toc 2"/>
    <w:basedOn w:val="Standaard"/>
    <w:next w:val="Standaard"/>
    <w:autoRedefine/>
    <w:uiPriority w:val="39"/>
    <w:unhideWhenUsed/>
    <w:rsid w:val="00D32A97"/>
    <w:pPr>
      <w:spacing w:after="0"/>
      <w:ind w:left="240"/>
    </w:pPr>
    <w:rPr>
      <w:smallCaps/>
      <w:sz w:val="20"/>
      <w:szCs w:val="20"/>
    </w:rPr>
  </w:style>
  <w:style w:type="paragraph" w:styleId="Inhopg3">
    <w:name w:val="toc 3"/>
    <w:basedOn w:val="Standaard"/>
    <w:next w:val="Standaard"/>
    <w:autoRedefine/>
    <w:uiPriority w:val="39"/>
    <w:unhideWhenUsed/>
    <w:rsid w:val="00D32A97"/>
    <w:pPr>
      <w:spacing w:after="0"/>
      <w:ind w:left="480"/>
    </w:pPr>
    <w:rPr>
      <w:i/>
      <w:iCs/>
      <w:sz w:val="20"/>
      <w:szCs w:val="20"/>
    </w:rPr>
  </w:style>
  <w:style w:type="paragraph" w:styleId="Inhopg4">
    <w:name w:val="toc 4"/>
    <w:basedOn w:val="Standaard"/>
    <w:next w:val="Standaard"/>
    <w:autoRedefine/>
    <w:uiPriority w:val="39"/>
    <w:unhideWhenUsed/>
    <w:rsid w:val="00D32A97"/>
    <w:pPr>
      <w:spacing w:after="0"/>
      <w:ind w:left="720"/>
    </w:pPr>
    <w:rPr>
      <w:sz w:val="18"/>
      <w:szCs w:val="18"/>
    </w:rPr>
  </w:style>
  <w:style w:type="paragraph" w:styleId="Inhopg5">
    <w:name w:val="toc 5"/>
    <w:basedOn w:val="Standaard"/>
    <w:next w:val="Standaard"/>
    <w:autoRedefine/>
    <w:uiPriority w:val="39"/>
    <w:unhideWhenUsed/>
    <w:rsid w:val="00D32A97"/>
    <w:pPr>
      <w:spacing w:after="0"/>
      <w:ind w:left="960"/>
    </w:pPr>
    <w:rPr>
      <w:sz w:val="18"/>
      <w:szCs w:val="18"/>
    </w:rPr>
  </w:style>
  <w:style w:type="paragraph" w:styleId="Inhopg6">
    <w:name w:val="toc 6"/>
    <w:basedOn w:val="Standaard"/>
    <w:next w:val="Standaard"/>
    <w:autoRedefine/>
    <w:uiPriority w:val="39"/>
    <w:unhideWhenUsed/>
    <w:rsid w:val="00D32A97"/>
    <w:pPr>
      <w:spacing w:after="0"/>
      <w:ind w:left="1200"/>
    </w:pPr>
    <w:rPr>
      <w:sz w:val="18"/>
      <w:szCs w:val="18"/>
    </w:rPr>
  </w:style>
  <w:style w:type="paragraph" w:styleId="Inhopg7">
    <w:name w:val="toc 7"/>
    <w:basedOn w:val="Standaard"/>
    <w:next w:val="Standaard"/>
    <w:autoRedefine/>
    <w:uiPriority w:val="39"/>
    <w:unhideWhenUsed/>
    <w:rsid w:val="00D32A97"/>
    <w:pPr>
      <w:spacing w:after="0"/>
      <w:ind w:left="1440"/>
    </w:pPr>
    <w:rPr>
      <w:sz w:val="18"/>
      <w:szCs w:val="18"/>
    </w:rPr>
  </w:style>
  <w:style w:type="paragraph" w:styleId="Inhopg8">
    <w:name w:val="toc 8"/>
    <w:basedOn w:val="Standaard"/>
    <w:next w:val="Standaard"/>
    <w:autoRedefine/>
    <w:uiPriority w:val="39"/>
    <w:unhideWhenUsed/>
    <w:rsid w:val="00D32A97"/>
    <w:pPr>
      <w:spacing w:after="0"/>
      <w:ind w:left="1680"/>
    </w:pPr>
    <w:rPr>
      <w:sz w:val="18"/>
      <w:szCs w:val="18"/>
    </w:rPr>
  </w:style>
  <w:style w:type="paragraph" w:styleId="Inhopg9">
    <w:name w:val="toc 9"/>
    <w:basedOn w:val="Standaard"/>
    <w:next w:val="Standaard"/>
    <w:autoRedefine/>
    <w:uiPriority w:val="39"/>
    <w:unhideWhenUsed/>
    <w:rsid w:val="00D32A97"/>
    <w:pPr>
      <w:spacing w:after="0"/>
      <w:ind w:left="1920"/>
    </w:pPr>
    <w:rPr>
      <w:sz w:val="18"/>
      <w:szCs w:val="18"/>
    </w:rPr>
  </w:style>
  <w:style w:type="character" w:customStyle="1" w:styleId="Kop1Char">
    <w:name w:val="Kop 1 Char"/>
    <w:link w:val="Kop1"/>
    <w:uiPriority w:val="9"/>
    <w:rsid w:val="00D32A97"/>
    <w:rPr>
      <w:rFonts w:ascii="Arial" w:eastAsia="Times New Roman" w:hAnsi="Arial"/>
      <w:b/>
      <w:bCs/>
      <w:kern w:val="32"/>
      <w:sz w:val="32"/>
      <w:szCs w:val="32"/>
      <w:lang w:eastAsia="nl-NL"/>
      <w14:ligatures w14:val="none"/>
    </w:rPr>
  </w:style>
  <w:style w:type="character" w:customStyle="1" w:styleId="Kop2Char">
    <w:name w:val="Kop 2 Char"/>
    <w:link w:val="Kop2"/>
    <w:uiPriority w:val="9"/>
    <w:rsid w:val="00D32A97"/>
    <w:rPr>
      <w:rFonts w:ascii="Arial" w:eastAsia="Times New Roman" w:hAnsi="Arial"/>
      <w:b/>
      <w:bCs/>
      <w:i/>
      <w:iCs/>
      <w:sz w:val="28"/>
      <w:szCs w:val="28"/>
      <w:lang w:eastAsia="nl-NL"/>
      <w14:ligatures w14:val="none"/>
    </w:rPr>
  </w:style>
  <w:style w:type="character" w:customStyle="1" w:styleId="Kop3Char">
    <w:name w:val="Kop 3 Char"/>
    <w:link w:val="Kop3"/>
    <w:uiPriority w:val="9"/>
    <w:rsid w:val="00D32A97"/>
    <w:rPr>
      <w:rFonts w:ascii="Arial" w:eastAsia="Times New Roman" w:hAnsi="Arial"/>
      <w:b/>
      <w:bCs/>
      <w:sz w:val="26"/>
      <w:szCs w:val="26"/>
      <w:lang w:eastAsia="nl-NL"/>
      <w14:ligatures w14:val="none"/>
    </w:rPr>
  </w:style>
  <w:style w:type="character" w:customStyle="1" w:styleId="Kop4Char">
    <w:name w:val="Kop 4 Char"/>
    <w:link w:val="Kop4"/>
    <w:uiPriority w:val="9"/>
    <w:rsid w:val="00D32A97"/>
    <w:rPr>
      <w:rFonts w:ascii="Arial" w:eastAsia="Times New Roman" w:hAnsi="Arial"/>
      <w:b/>
      <w:bCs/>
      <w:sz w:val="24"/>
      <w:szCs w:val="28"/>
      <w:lang w:eastAsia="nl-NL"/>
      <w14:ligatures w14:val="none"/>
    </w:rPr>
  </w:style>
  <w:style w:type="character" w:customStyle="1" w:styleId="Kop5Char">
    <w:name w:val="Kop 5 Char"/>
    <w:link w:val="Kop5"/>
    <w:uiPriority w:val="9"/>
    <w:rsid w:val="00D32A97"/>
    <w:rPr>
      <w:rFonts w:ascii="Arial" w:eastAsia="Times New Roman" w:hAnsi="Arial"/>
      <w:b/>
      <w:bCs/>
      <w:i/>
      <w:iCs/>
      <w:sz w:val="30"/>
      <w:szCs w:val="26"/>
      <w:lang w:eastAsia="nl-NL"/>
      <w14:ligatures w14:val="none"/>
    </w:rPr>
  </w:style>
  <w:style w:type="character" w:customStyle="1" w:styleId="Kop6Char">
    <w:name w:val="Kop 6 Char"/>
    <w:link w:val="Kop6"/>
    <w:uiPriority w:val="9"/>
    <w:rsid w:val="00D32A97"/>
    <w:rPr>
      <w:rFonts w:ascii="Arial" w:eastAsia="Times New Roman" w:hAnsi="Arial"/>
      <w:b/>
      <w:bCs/>
      <w:sz w:val="28"/>
      <w:szCs w:val="22"/>
      <w:lang w:eastAsia="nl-NL"/>
      <w14:ligatures w14:val="none"/>
    </w:rPr>
  </w:style>
  <w:style w:type="paragraph" w:styleId="Kopvaninhoudsopgave">
    <w:name w:val="TOC Heading"/>
    <w:basedOn w:val="Kop1"/>
    <w:next w:val="Standaard"/>
    <w:uiPriority w:val="39"/>
    <w:unhideWhenUsed/>
    <w:qFormat/>
    <w:rsid w:val="00D32A97"/>
    <w:pPr>
      <w:keepLines/>
      <w:spacing w:after="0" w:line="259" w:lineRule="auto"/>
      <w:outlineLvl w:val="9"/>
    </w:pPr>
    <w:rPr>
      <w:b w:val="0"/>
      <w:bCs w:val="0"/>
      <w:color w:val="0F4761"/>
      <w:kern w:val="0"/>
    </w:rPr>
  </w:style>
  <w:style w:type="paragraph" w:styleId="Koptekst">
    <w:name w:val="header"/>
    <w:basedOn w:val="Standaard"/>
    <w:link w:val="KoptekstChar"/>
    <w:uiPriority w:val="99"/>
    <w:unhideWhenUsed/>
    <w:rsid w:val="00D32A97"/>
    <w:pPr>
      <w:tabs>
        <w:tab w:val="center" w:pos="4536"/>
        <w:tab w:val="right" w:pos="9072"/>
      </w:tabs>
    </w:pPr>
  </w:style>
  <w:style w:type="character" w:customStyle="1" w:styleId="KoptekstChar">
    <w:name w:val="Koptekst Char"/>
    <w:link w:val="Koptekst"/>
    <w:uiPriority w:val="99"/>
    <w:rsid w:val="00D32A97"/>
    <w:rPr>
      <w:rFonts w:eastAsia="Times New Roman"/>
      <w:sz w:val="24"/>
      <w:szCs w:val="24"/>
      <w:lang w:eastAsia="nl-NL"/>
      <w14:ligatures w14:val="none"/>
    </w:rPr>
  </w:style>
  <w:style w:type="character" w:styleId="Onopgelostemelding">
    <w:name w:val="Unresolved Mention"/>
    <w:uiPriority w:val="99"/>
    <w:semiHidden/>
    <w:unhideWhenUsed/>
    <w:rsid w:val="00D32A97"/>
    <w:rPr>
      <w:color w:val="605E5C"/>
      <w:shd w:val="clear" w:color="auto" w:fill="E1DFDD"/>
    </w:rPr>
  </w:style>
  <w:style w:type="character" w:styleId="Voetnootmarkering">
    <w:name w:val="footnote reference"/>
    <w:uiPriority w:val="99"/>
    <w:semiHidden/>
    <w:unhideWhenUsed/>
    <w:rsid w:val="00D32A97"/>
    <w:rPr>
      <w:vertAlign w:val="superscript"/>
    </w:rPr>
  </w:style>
  <w:style w:type="paragraph" w:styleId="Voetnoottekst">
    <w:name w:val="footnote text"/>
    <w:basedOn w:val="Standaard"/>
    <w:link w:val="VoetnoottekstChar"/>
    <w:uiPriority w:val="99"/>
    <w:semiHidden/>
    <w:unhideWhenUsed/>
    <w:rsid w:val="00D32A97"/>
    <w:rPr>
      <w:sz w:val="20"/>
      <w:szCs w:val="20"/>
    </w:rPr>
  </w:style>
  <w:style w:type="character" w:customStyle="1" w:styleId="VoetnoottekstChar">
    <w:name w:val="Voetnoottekst Char"/>
    <w:link w:val="Voetnoottekst"/>
    <w:uiPriority w:val="99"/>
    <w:semiHidden/>
    <w:rsid w:val="00D32A97"/>
    <w:rPr>
      <w:rFonts w:eastAsia="Times New Roman"/>
      <w:lang w:eastAsia="nl-NL"/>
      <w14:ligatures w14:val="none"/>
    </w:rPr>
  </w:style>
  <w:style w:type="paragraph" w:styleId="Voettekst">
    <w:name w:val="footer"/>
    <w:basedOn w:val="Standaard"/>
    <w:link w:val="VoettekstChar"/>
    <w:uiPriority w:val="99"/>
    <w:unhideWhenUsed/>
    <w:rsid w:val="00D32A97"/>
    <w:pPr>
      <w:tabs>
        <w:tab w:val="center" w:pos="4536"/>
        <w:tab w:val="right" w:pos="9072"/>
      </w:tabs>
    </w:pPr>
  </w:style>
  <w:style w:type="character" w:customStyle="1" w:styleId="VoettekstChar">
    <w:name w:val="Voettekst Char"/>
    <w:link w:val="Voettekst"/>
    <w:uiPriority w:val="99"/>
    <w:rsid w:val="00D32A97"/>
    <w:rPr>
      <w:rFonts w:eastAsia="Times New Roman"/>
      <w:sz w:val="24"/>
      <w:szCs w:val="24"/>
      <w:lang w:eastAsia="nl-NL"/>
      <w14:ligatures w14:val="none"/>
    </w:rPr>
  </w:style>
  <w:style w:type="character" w:customStyle="1" w:styleId="Kop7Char">
    <w:name w:val="Kop 7 Char"/>
    <w:basedOn w:val="Standaardalinea-lettertype"/>
    <w:link w:val="Kop7"/>
    <w:uiPriority w:val="9"/>
    <w:semiHidden/>
    <w:rsid w:val="00B629AE"/>
    <w:rPr>
      <w:rFonts w:asciiTheme="minorHAnsi" w:eastAsiaTheme="majorEastAsia" w:hAnsiTheme="minorHAnsi" w:cstheme="majorBidi"/>
      <w:color w:val="595959" w:themeColor="text1" w:themeTint="A6"/>
      <w:sz w:val="24"/>
      <w:szCs w:val="24"/>
      <w:lang w:eastAsia="nl-NL"/>
      <w14:ligatures w14:val="none"/>
    </w:rPr>
  </w:style>
  <w:style w:type="character" w:customStyle="1" w:styleId="Kop8Char">
    <w:name w:val="Kop 8 Char"/>
    <w:basedOn w:val="Standaardalinea-lettertype"/>
    <w:link w:val="Kop8"/>
    <w:uiPriority w:val="9"/>
    <w:semiHidden/>
    <w:rsid w:val="00B629AE"/>
    <w:rPr>
      <w:rFonts w:asciiTheme="minorHAnsi" w:eastAsiaTheme="majorEastAsia" w:hAnsiTheme="minorHAnsi" w:cstheme="majorBidi"/>
      <w:i/>
      <w:iCs/>
      <w:color w:val="272727" w:themeColor="text1" w:themeTint="D8"/>
      <w:sz w:val="24"/>
      <w:szCs w:val="24"/>
      <w:lang w:eastAsia="nl-NL"/>
      <w14:ligatures w14:val="none"/>
    </w:rPr>
  </w:style>
  <w:style w:type="character" w:customStyle="1" w:styleId="Kop9Char">
    <w:name w:val="Kop 9 Char"/>
    <w:basedOn w:val="Standaardalinea-lettertype"/>
    <w:link w:val="Kop9"/>
    <w:uiPriority w:val="9"/>
    <w:semiHidden/>
    <w:rsid w:val="00B629AE"/>
    <w:rPr>
      <w:rFonts w:asciiTheme="minorHAnsi" w:eastAsiaTheme="majorEastAsia" w:hAnsiTheme="minorHAnsi" w:cstheme="majorBidi"/>
      <w:color w:val="272727" w:themeColor="text1" w:themeTint="D8"/>
      <w:sz w:val="24"/>
      <w:szCs w:val="24"/>
      <w:lang w:eastAsia="nl-NL"/>
      <w14:ligatures w14:val="none"/>
    </w:rPr>
  </w:style>
  <w:style w:type="paragraph" w:styleId="Titel">
    <w:name w:val="Title"/>
    <w:basedOn w:val="Standaard"/>
    <w:next w:val="Standaard"/>
    <w:link w:val="TitelChar"/>
    <w:uiPriority w:val="10"/>
    <w:qFormat/>
    <w:rsid w:val="00B6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629AE"/>
    <w:rPr>
      <w:rFonts w:asciiTheme="majorHAnsi" w:eastAsiaTheme="majorEastAsia" w:hAnsiTheme="majorHAnsi" w:cstheme="majorBidi"/>
      <w:spacing w:val="-10"/>
      <w:kern w:val="28"/>
      <w:sz w:val="56"/>
      <w:szCs w:val="56"/>
      <w:lang w:eastAsia="nl-NL"/>
      <w14:ligatures w14:val="none"/>
    </w:rPr>
  </w:style>
  <w:style w:type="paragraph" w:styleId="Ondertitel">
    <w:name w:val="Subtitle"/>
    <w:basedOn w:val="Standaard"/>
    <w:next w:val="Standaard"/>
    <w:link w:val="OndertitelChar"/>
    <w:uiPriority w:val="11"/>
    <w:qFormat/>
    <w:rsid w:val="00B629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629AE"/>
    <w:rPr>
      <w:rFonts w:asciiTheme="minorHAnsi" w:eastAsiaTheme="majorEastAsia" w:hAnsiTheme="minorHAnsi" w:cstheme="majorBidi"/>
      <w:color w:val="595959" w:themeColor="text1" w:themeTint="A6"/>
      <w:spacing w:val="15"/>
      <w:sz w:val="28"/>
      <w:szCs w:val="28"/>
      <w:lang w:eastAsia="nl-NL"/>
      <w14:ligatures w14:val="none"/>
    </w:rPr>
  </w:style>
  <w:style w:type="paragraph" w:styleId="Citaat">
    <w:name w:val="Quote"/>
    <w:basedOn w:val="Standaard"/>
    <w:next w:val="Standaard"/>
    <w:link w:val="CitaatChar"/>
    <w:uiPriority w:val="29"/>
    <w:qFormat/>
    <w:rsid w:val="00B629A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629AE"/>
    <w:rPr>
      <w:i/>
      <w:iCs/>
      <w:color w:val="404040" w:themeColor="text1" w:themeTint="BF"/>
      <w:sz w:val="24"/>
      <w:szCs w:val="24"/>
      <w:lang w:eastAsia="nl-NL"/>
      <w14:ligatures w14:val="none"/>
    </w:rPr>
  </w:style>
  <w:style w:type="paragraph" w:styleId="Lijstalinea">
    <w:name w:val="List Paragraph"/>
    <w:basedOn w:val="Standaard"/>
    <w:uiPriority w:val="34"/>
    <w:qFormat/>
    <w:rsid w:val="00B629AE"/>
    <w:pPr>
      <w:ind w:left="720"/>
      <w:contextualSpacing/>
    </w:pPr>
  </w:style>
  <w:style w:type="character" w:styleId="Intensievebenadrukking">
    <w:name w:val="Intense Emphasis"/>
    <w:basedOn w:val="Standaardalinea-lettertype"/>
    <w:uiPriority w:val="21"/>
    <w:qFormat/>
    <w:rsid w:val="00B629AE"/>
    <w:rPr>
      <w:i/>
      <w:iCs/>
      <w:color w:val="0F4761" w:themeColor="accent1" w:themeShade="BF"/>
    </w:rPr>
  </w:style>
  <w:style w:type="paragraph" w:styleId="Duidelijkcitaat">
    <w:name w:val="Intense Quote"/>
    <w:basedOn w:val="Standaard"/>
    <w:next w:val="Standaard"/>
    <w:link w:val="DuidelijkcitaatChar"/>
    <w:uiPriority w:val="30"/>
    <w:qFormat/>
    <w:rsid w:val="00B62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629AE"/>
    <w:rPr>
      <w:i/>
      <w:iCs/>
      <w:color w:val="0F4761" w:themeColor="accent1" w:themeShade="BF"/>
      <w:sz w:val="24"/>
      <w:szCs w:val="24"/>
      <w:lang w:eastAsia="nl-NL"/>
      <w14:ligatures w14:val="none"/>
    </w:rPr>
  </w:style>
  <w:style w:type="character" w:styleId="Intensieveverwijzing">
    <w:name w:val="Intense Reference"/>
    <w:basedOn w:val="Standaardalinea-lettertype"/>
    <w:uiPriority w:val="32"/>
    <w:qFormat/>
    <w:rsid w:val="00B62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s.nl/nl-nl/onze-diensten/maatwerk-en-microdata/microdata-zelf-onderzoek-doen/maatwerk-microdatabestanden/maatwerk-microdatabestanden/woonbase/woonbase-financieel-economisch?utm_source=chatgpt.com" TargetMode="External"/><Relationship Id="rId3" Type="http://schemas.openxmlformats.org/officeDocument/2006/relationships/settings" Target="settings.xml"/><Relationship Id="rId7" Type="http://schemas.openxmlformats.org/officeDocument/2006/relationships/hyperlink" Target="https://www.volkshuisvestingnederland.nl/documenten/2025/04/10/kernpublicatie-van-het-woon-24?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s.nl/nl-nl/longread/rapportages/2024/wat-is-genoeg-om-van-te-leven-/?utm_source=chatgpt.com" TargetMode="External"/><Relationship Id="rId11" Type="http://schemas.openxmlformats.org/officeDocument/2006/relationships/fontTable" Target="fontTable.xml"/><Relationship Id="rId5" Type="http://schemas.openxmlformats.org/officeDocument/2006/relationships/hyperlink" Target="https://www.ohchr.org/en/special-procedures/sr-housing/human-right-adequate-housing?utm_source=chatgpt.com" TargetMode="External"/><Relationship Id="rId10" Type="http://schemas.openxmlformats.org/officeDocument/2006/relationships/hyperlink" Target="https://www.ep-online.nl/PublicData?menu=false&amp;utm_source=chatgpt.com" TargetMode="External"/><Relationship Id="rId4" Type="http://schemas.openxmlformats.org/officeDocument/2006/relationships/webSettings" Target="webSettings.xml"/><Relationship Id="rId9" Type="http://schemas.openxmlformats.org/officeDocument/2006/relationships/hyperlink" Target="https://www.kadaster.nl/zakelijk/registraties/basisregistraties/bag/over-bag?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1544</Words>
  <Characters>8496</Characters>
  <Application>Microsoft Office Word</Application>
  <DocSecurity>0</DocSecurity>
  <Lines>70</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Kleo Rem</dc:creator>
  <cp:keywords/>
  <dc:description/>
  <cp:lastModifiedBy>Kleo Rem</cp:lastModifiedBy>
  <cp:revision>2</cp:revision>
  <dcterms:created xsi:type="dcterms:W3CDTF">2026-09-11T20:51:00Z</dcterms:created>
  <dcterms:modified xsi:type="dcterms:W3CDTF">2026-09-12T05:54:00Z</dcterms:modified>
</cp:coreProperties>
</file>