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Rekenmethode adequate woningvoorraad en basisinkomen</w:t>
      </w:r>
    </w:p>
    <w:p>
      <w:pPr>
        <w:spacing w:before="40" w:after="280"/>
      </w:pPr>
      <w:r>
        <w:rPr>
          <w:color w:val="5B6571"/>
          <w:sz w:val="22"/>
        </w:rPr>
        <w:t>Versie 0.1   11 september 2026</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835"/>
            <w:shd w:fill="17324D"/>
            <w:vAlign w:val="center"/>
            <w:tcMar>
              <w:top w:w="100" w:type="dxa"/>
              <w:start w:w="110" w:type="dxa"/>
              <w:bottom w:w="100" w:type="dxa"/>
              <w:end w:w="110" w:type="dxa"/>
            </w:tcMar>
          </w:tcPr>
          <w:p>
            <w:pPr>
              <w:jc w:val="left"/>
            </w:pPr>
            <w:r/>
            <w:r>
              <w:rPr>
                <w:rFonts w:ascii="Arial" w:hAnsi="Arial"/>
                <w:b/>
                <w:color w:val="FFFFFF"/>
                <w:sz w:val="18"/>
              </w:rPr>
              <w:t>Onderdeel</w:t>
            </w:r>
          </w:p>
        </w:tc>
        <w:tc>
          <w:tcPr>
            <w:tcW w:type="dxa" w:w="6633"/>
            <w:shd w:fill="17324D"/>
            <w:vAlign w:val="center"/>
            <w:tcMar>
              <w:top w:w="100" w:type="dxa"/>
              <w:start w:w="110" w:type="dxa"/>
              <w:bottom w:w="100" w:type="dxa"/>
              <w:end w:w="110" w:type="dxa"/>
            </w:tcMar>
          </w:tcPr>
          <w:p>
            <w:pPr>
              <w:jc w:val="left"/>
            </w:pPr>
            <w:r/>
            <w:r>
              <w:rPr>
                <w:rFonts w:ascii="Arial" w:hAnsi="Arial"/>
                <w:b/>
                <w:color w:val="FFFFFF"/>
                <w:sz w:val="18"/>
              </w:rPr>
              <w:t>Vastlegging</w:t>
            </w:r>
          </w:p>
        </w:tc>
      </w:tr>
      <w:tr>
        <w:trPr>
          <w:cantSplit/>
        </w:trPr>
        <w:tc>
          <w:tcPr>
            <w:tcW w:type="dxa" w:w="2835"/>
            <w:vAlign w:val="center"/>
            <w:tcMar>
              <w:top w:w="100" w:type="dxa"/>
              <w:start w:w="110" w:type="dxa"/>
              <w:bottom w:w="100" w:type="dxa"/>
              <w:end w:w="110" w:type="dxa"/>
            </w:tcMar>
          </w:tcPr>
          <w:p>
            <w:pPr>
              <w:jc w:val="left"/>
            </w:pPr>
            <w:r/>
            <w:r>
              <w:rPr>
                <w:rFonts w:ascii="Arial" w:hAnsi="Arial"/>
                <w:b w:val="0"/>
                <w:color w:val="1F2937"/>
                <w:sz w:val="18"/>
              </w:rPr>
              <w:t>Initiatief en denklijn</w:t>
            </w:r>
          </w:p>
        </w:tc>
        <w:tc>
          <w:tcPr>
            <w:tcW w:type="dxa" w:w="6633"/>
            <w:vAlign w:val="center"/>
            <w:tcMar>
              <w:top w:w="100" w:type="dxa"/>
              <w:start w:w="110" w:type="dxa"/>
              <w:bottom w:w="100" w:type="dxa"/>
              <w:end w:w="110" w:type="dxa"/>
            </w:tcMar>
          </w:tcPr>
          <w:p>
            <w:pPr>
              <w:jc w:val="left"/>
            </w:pPr>
            <w:r/>
            <w:r>
              <w:rPr>
                <w:rFonts w:ascii="Arial" w:hAnsi="Arial"/>
                <w:b w:val="0"/>
                <w:color w:val="1F2937"/>
                <w:sz w:val="18"/>
              </w:rPr>
              <w:t>ir. Kleo Rem   Dutch Kleo</w:t>
            </w:r>
          </w:p>
        </w:tc>
      </w:tr>
      <w:tr>
        <w:trPr>
          <w:cantSplit/>
        </w:trPr>
        <w:tc>
          <w:tcPr>
            <w:tcW w:type="dxa" w:w="2835"/>
            <w:vAlign w:val="center"/>
            <w:tcMar>
              <w:top w:w="100" w:type="dxa"/>
              <w:start w:w="110" w:type="dxa"/>
              <w:bottom w:w="100" w:type="dxa"/>
              <w:end w:w="110" w:type="dxa"/>
            </w:tcMar>
            <w:shd w:fill="F3F5F7"/>
          </w:tcPr>
          <w:p>
            <w:pPr>
              <w:jc w:val="left"/>
            </w:pPr>
            <w:r/>
            <w:r>
              <w:rPr>
                <w:rFonts w:ascii="Arial" w:hAnsi="Arial"/>
                <w:b w:val="0"/>
                <w:color w:val="1F2937"/>
                <w:sz w:val="18"/>
              </w:rPr>
              <w:t>Status</w:t>
            </w:r>
          </w:p>
        </w:tc>
        <w:tc>
          <w:tcPr>
            <w:tcW w:type="dxa" w:w="6633"/>
            <w:vAlign w:val="center"/>
            <w:tcMar>
              <w:top w:w="100" w:type="dxa"/>
              <w:start w:w="110" w:type="dxa"/>
              <w:bottom w:w="100" w:type="dxa"/>
              <w:end w:w="110" w:type="dxa"/>
            </w:tcMar>
            <w:shd w:fill="F3F5F7"/>
          </w:tcPr>
          <w:p>
            <w:pPr>
              <w:jc w:val="left"/>
            </w:pPr>
            <w:r/>
            <w:r>
              <w:rPr>
                <w:rFonts w:ascii="Arial" w:hAnsi="Arial"/>
                <w:b w:val="0"/>
                <w:color w:val="1F2937"/>
                <w:sz w:val="18"/>
              </w:rPr>
              <w:t>Eerste openbare werkversie voor toetsing en verdere ontwikkeling</w:t>
            </w:r>
          </w:p>
        </w:tc>
      </w:tr>
      <w:tr>
        <w:trPr>
          <w:cantSplit/>
        </w:trPr>
        <w:tc>
          <w:tcPr>
            <w:tcW w:type="dxa" w:w="2835"/>
            <w:vAlign w:val="center"/>
            <w:tcMar>
              <w:top w:w="100" w:type="dxa"/>
              <w:start w:w="110" w:type="dxa"/>
              <w:bottom w:w="100" w:type="dxa"/>
              <w:end w:w="110" w:type="dxa"/>
            </w:tcMar>
          </w:tcPr>
          <w:p>
            <w:pPr>
              <w:jc w:val="left"/>
            </w:pPr>
            <w:r/>
            <w:r>
              <w:rPr>
                <w:rFonts w:ascii="Arial" w:hAnsi="Arial"/>
                <w:b w:val="0"/>
                <w:color w:val="1F2937"/>
                <w:sz w:val="18"/>
              </w:rPr>
              <w:t>Toepassing</w:t>
            </w:r>
          </w:p>
        </w:tc>
        <w:tc>
          <w:tcPr>
            <w:tcW w:type="dxa" w:w="6633"/>
            <w:vAlign w:val="center"/>
            <w:tcMar>
              <w:top w:w="100" w:type="dxa"/>
              <w:start w:w="110" w:type="dxa"/>
              <w:bottom w:w="100" w:type="dxa"/>
              <w:end w:w="110" w:type="dxa"/>
            </w:tcMar>
          </w:tcPr>
          <w:p>
            <w:pPr>
              <w:jc w:val="left"/>
            </w:pPr>
            <w:r/>
            <w:r>
              <w:rPr>
                <w:rFonts w:ascii="Arial" w:hAnsi="Arial"/>
                <w:b w:val="0"/>
                <w:color w:val="1F2937"/>
                <w:sz w:val="18"/>
              </w:rPr>
              <w:t>Nederland, regio, gemeente, wijk of afgebakende doelgroep</w:t>
            </w:r>
          </w:p>
        </w:tc>
      </w:tr>
      <w:tr>
        <w:trPr>
          <w:cantSplit/>
        </w:trPr>
        <w:tc>
          <w:tcPr>
            <w:tcW w:type="dxa" w:w="2835"/>
            <w:vAlign w:val="center"/>
            <w:tcMar>
              <w:top w:w="100" w:type="dxa"/>
              <w:start w:w="110" w:type="dxa"/>
              <w:bottom w:w="100" w:type="dxa"/>
              <w:end w:w="110" w:type="dxa"/>
            </w:tcMar>
            <w:shd w:fill="F3F5F7"/>
          </w:tcPr>
          <w:p>
            <w:pPr>
              <w:jc w:val="left"/>
            </w:pPr>
            <w:r/>
            <w:r>
              <w:rPr>
                <w:rFonts w:ascii="Arial" w:hAnsi="Arial"/>
                <w:b w:val="0"/>
                <w:color w:val="1F2937"/>
                <w:sz w:val="18"/>
              </w:rPr>
              <w:t>Hoofduitkomsten</w:t>
            </w:r>
          </w:p>
        </w:tc>
        <w:tc>
          <w:tcPr>
            <w:tcW w:type="dxa" w:w="6633"/>
            <w:vAlign w:val="center"/>
            <w:tcMar>
              <w:top w:w="100" w:type="dxa"/>
              <w:start w:w="110" w:type="dxa"/>
              <w:bottom w:w="100" w:type="dxa"/>
              <w:end w:w="110" w:type="dxa"/>
            </w:tcMar>
            <w:shd w:fill="F3F5F7"/>
          </w:tcPr>
          <w:p>
            <w:pPr>
              <w:jc w:val="left"/>
            </w:pPr>
            <w:r/>
            <w:r>
              <w:rPr>
                <w:rFonts w:ascii="Arial" w:hAnsi="Arial"/>
                <w:b w:val="0"/>
                <w:color w:val="1F2937"/>
                <w:sz w:val="18"/>
              </w:rPr>
              <w:t>woningdekking, woningtekort, inkomensdekking, resterend tekort en beleidskosten</w:t>
            </w:r>
          </w:p>
        </w:tc>
      </w:tr>
    </w:tbl>
    <w:p>
      <w:pPr>
        <w:spacing w:after="20"/>
      </w:pPr>
    </w:p>
    <w:p>
      <w:r>
        <w:t>Deze rekenmethode maakt zichtbaar hoeveel huishoudens werkelijk kunnen beschikken over een passende en betaalbare woning en welk basisinkomensscenario voldoende bestaansruimte oplevert. De methode rekent met aantallen huishoudens, woningen, euro’s en percentages. Daardoor blijven de uitkomsten herleidbaar tot concrete gegevens.</w:t>
      </w:r>
    </w:p>
    <w:p>
      <w:r>
        <w:t>De adequate woningvoorraad is het publieke resultaat. Het basisinkomen is een mogelijk instrument om de betaalbaarheid en bestaanszekerheid te verbeteren. De rekenmethode houdt die twee rollen uit elkaar en laat tegelijk zien hoe woonlasten en inkomen elkaar beïnvloeden.</w:t>
      </w:r>
    </w:p>
    <w:p>
      <w:pPr>
        <w:pStyle w:val="Heading1"/>
      </w:pPr>
      <w:r>
        <w:t>Doel en uitgangspunten</w:t>
      </w:r>
    </w:p>
    <w:p>
      <w:r>
        <w:t>Een woningvoorraad is adequaat wanneer voldoende woningen van de juiste soort, kwaliteit, prijs en locatie beschikbaar zijn voor de mensen die ze nodig hebben. De woningen moeten daarnaast gebouwd, beheerd, onderhouden en aangepast kunnen worden. Adequaat betekent passend bij de werkelijke opgave. Het betekent niet dat iedere woning perfect moet zijn.</w:t>
      </w:r>
    </w:p>
    <w:p>
      <w:pPr>
        <w:pStyle w:val="ListBullet"/>
        <w:spacing w:after="40"/>
      </w:pPr>
      <w:r>
        <w:t>De normen staan los van de meetgegevens. Bestuur en samenleving bepalen wat minimaal nodig is; onderzoekers en uitvoerders verzamelen de gegevens.</w:t>
      </w:r>
    </w:p>
    <w:p>
      <w:pPr>
        <w:pStyle w:val="ListBullet"/>
        <w:spacing w:after="40"/>
      </w:pPr>
      <w:r>
        <w:t>Een woning telt alleen mee wanneer zij voor een concreet huishouden beschikbaar, passend, betaalbaar en voldoende van kwaliteit is.</w:t>
      </w:r>
    </w:p>
    <w:p>
      <w:pPr>
        <w:pStyle w:val="ListBullet"/>
        <w:spacing w:after="40"/>
      </w:pPr>
      <w:r>
        <w:t>Een woning en een huishouden worden ieder maar één keer meegeteld.</w:t>
      </w:r>
    </w:p>
    <w:p>
      <w:pPr>
        <w:pStyle w:val="ListBullet"/>
        <w:spacing w:after="40"/>
      </w:pPr>
      <w:r>
        <w:t>Een gemiddelde uitkomst wordt altijd aangevuld met tekorten per groep, zodat een goede totaalscore geen ernstige achterstand kan verbergen.</w:t>
      </w:r>
    </w:p>
    <w:p>
      <w:pPr>
        <w:pStyle w:val="ListBullet"/>
        <w:spacing w:after="40"/>
      </w:pPr>
      <w:r>
        <w:t>Een basisinkomensbedrag wordt als scenario doorgerekend. De methode schrijft niet vooraf één politiek juist bedrag voor.</w:t>
      </w:r>
    </w:p>
    <w:p>
      <w:pPr>
        <w:pStyle w:val="Heading1"/>
      </w:pPr>
      <w:r>
        <w:t>Rekengebied en peildatum</w:t>
      </w:r>
    </w:p>
    <w:p>
      <w:r>
        <w:t>Iedere berekening begint met één geografisch gebied, één peildatum en één beleidsvariant. Vraag en aanbod moeten dezelfde peildatum gebruiken. Voorraad die pas later beschikbaar komt, wordt afzonderlijk als prognose gerapporteerd. Tijdelijke leegstand, onbewoonbare woningen en woningen die niet toegankelijk zijn voor de onderzochte groep tellen niet automatisch mee als beschikbaar aanbod.</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835"/>
            <w:shd w:fill="17324D"/>
            <w:vAlign w:val="center"/>
            <w:tcMar>
              <w:top w:w="100" w:type="dxa"/>
              <w:start w:w="110" w:type="dxa"/>
              <w:bottom w:w="100" w:type="dxa"/>
              <w:end w:w="110" w:type="dxa"/>
            </w:tcMar>
          </w:tcPr>
          <w:p>
            <w:pPr>
              <w:jc w:val="left"/>
            </w:pPr>
            <w:r/>
            <w:r>
              <w:rPr>
                <w:rFonts w:ascii="Arial" w:hAnsi="Arial"/>
                <w:b/>
                <w:color w:val="FFFFFF"/>
                <w:sz w:val="17"/>
              </w:rPr>
              <w:t>Vast te leggen</w:t>
            </w:r>
          </w:p>
        </w:tc>
        <w:tc>
          <w:tcPr>
            <w:tcW w:type="dxa" w:w="6633"/>
            <w:shd w:fill="17324D"/>
            <w:vAlign w:val="center"/>
            <w:tcMar>
              <w:top w:w="100" w:type="dxa"/>
              <w:start w:w="110" w:type="dxa"/>
              <w:bottom w:w="100" w:type="dxa"/>
              <w:end w:w="110" w:type="dxa"/>
            </w:tcMar>
          </w:tcPr>
          <w:p>
            <w:pPr>
              <w:jc w:val="left"/>
            </w:pPr>
            <w:r/>
            <w:r>
              <w:rPr>
                <w:rFonts w:ascii="Arial" w:hAnsi="Arial"/>
                <w:b/>
                <w:color w:val="FFFFFF"/>
                <w:sz w:val="17"/>
              </w:rPr>
              <w:t>Voorbeeld</w:t>
            </w:r>
          </w:p>
        </w:tc>
      </w:tr>
      <w:tr>
        <w:trPr>
          <w:cantSplit/>
        </w:trPr>
        <w:tc>
          <w:tcPr>
            <w:tcW w:type="dxa" w:w="2835"/>
            <w:vAlign w:val="center"/>
            <w:tcMar>
              <w:top w:w="100" w:type="dxa"/>
              <w:start w:w="110" w:type="dxa"/>
              <w:bottom w:w="100" w:type="dxa"/>
              <w:end w:w="110" w:type="dxa"/>
            </w:tcMar>
          </w:tcPr>
          <w:p>
            <w:pPr>
              <w:jc w:val="left"/>
            </w:pPr>
            <w:r/>
            <w:r>
              <w:rPr>
                <w:rFonts w:ascii="Arial" w:hAnsi="Arial"/>
                <w:b w:val="0"/>
                <w:color w:val="1F2937"/>
                <w:sz w:val="17"/>
              </w:rPr>
              <w:t>Gebied</w:t>
            </w:r>
          </w:p>
        </w:tc>
        <w:tc>
          <w:tcPr>
            <w:tcW w:type="dxa" w:w="6633"/>
            <w:vAlign w:val="center"/>
            <w:tcMar>
              <w:top w:w="100" w:type="dxa"/>
              <w:start w:w="110" w:type="dxa"/>
              <w:bottom w:w="100" w:type="dxa"/>
              <w:end w:w="110" w:type="dxa"/>
            </w:tcMar>
          </w:tcPr>
          <w:p>
            <w:pPr>
              <w:jc w:val="left"/>
            </w:pPr>
            <w:r/>
            <w:r>
              <w:rPr>
                <w:rFonts w:ascii="Arial" w:hAnsi="Arial"/>
                <w:b w:val="0"/>
                <w:color w:val="1F2937"/>
                <w:sz w:val="17"/>
              </w:rPr>
              <w:t>Nederland, gemeente Eindhoven of een afgebakende woningmarktregio</w:t>
            </w:r>
          </w:p>
        </w:tc>
      </w:tr>
      <w:tr>
        <w:trPr>
          <w:cantSplit/>
        </w:trPr>
        <w:tc>
          <w:tcPr>
            <w:tcW w:type="dxa" w:w="2835"/>
            <w:vAlign w:val="center"/>
            <w:tcMar>
              <w:top w:w="100" w:type="dxa"/>
              <w:start w:w="110" w:type="dxa"/>
              <w:bottom w:w="100" w:type="dxa"/>
              <w:end w:w="110" w:type="dxa"/>
            </w:tcMar>
            <w:shd w:fill="F3F5F7"/>
          </w:tcPr>
          <w:p>
            <w:pPr>
              <w:jc w:val="left"/>
            </w:pPr>
            <w:r/>
            <w:r>
              <w:rPr>
                <w:rFonts w:ascii="Arial" w:hAnsi="Arial"/>
                <w:b w:val="0"/>
                <w:color w:val="1F2937"/>
                <w:sz w:val="17"/>
              </w:rPr>
              <w:t>Peildatum</w:t>
            </w:r>
          </w:p>
        </w:tc>
        <w:tc>
          <w:tcPr>
            <w:tcW w:type="dxa" w:w="6633"/>
            <w:vAlign w:val="center"/>
            <w:tcMar>
              <w:top w:w="100" w:type="dxa"/>
              <w:start w:w="110" w:type="dxa"/>
              <w:bottom w:w="100" w:type="dxa"/>
              <w:end w:w="110" w:type="dxa"/>
            </w:tcMar>
            <w:shd w:fill="F3F5F7"/>
          </w:tcPr>
          <w:p>
            <w:pPr>
              <w:jc w:val="left"/>
            </w:pPr>
            <w:r/>
            <w:r>
              <w:rPr>
                <w:rFonts w:ascii="Arial" w:hAnsi="Arial"/>
                <w:b w:val="0"/>
                <w:color w:val="1F2937"/>
                <w:sz w:val="17"/>
              </w:rPr>
              <w:t>31 december 2026</w:t>
            </w:r>
          </w:p>
        </w:tc>
      </w:tr>
      <w:tr>
        <w:trPr>
          <w:cantSplit/>
        </w:trPr>
        <w:tc>
          <w:tcPr>
            <w:tcW w:type="dxa" w:w="2835"/>
            <w:vAlign w:val="center"/>
            <w:tcMar>
              <w:top w:w="100" w:type="dxa"/>
              <w:start w:w="110" w:type="dxa"/>
              <w:bottom w:w="100" w:type="dxa"/>
              <w:end w:w="110" w:type="dxa"/>
            </w:tcMar>
          </w:tcPr>
          <w:p>
            <w:pPr>
              <w:jc w:val="left"/>
            </w:pPr>
            <w:r/>
            <w:r>
              <w:rPr>
                <w:rFonts w:ascii="Arial" w:hAnsi="Arial"/>
                <w:b w:val="0"/>
                <w:color w:val="1F2937"/>
                <w:sz w:val="17"/>
              </w:rPr>
              <w:t>Populatie</w:t>
            </w:r>
          </w:p>
        </w:tc>
        <w:tc>
          <w:tcPr>
            <w:tcW w:type="dxa" w:w="6633"/>
            <w:vAlign w:val="center"/>
            <w:tcMar>
              <w:top w:w="100" w:type="dxa"/>
              <w:start w:w="110" w:type="dxa"/>
              <w:bottom w:w="100" w:type="dxa"/>
              <w:end w:w="110" w:type="dxa"/>
            </w:tcMar>
          </w:tcPr>
          <w:p>
            <w:pPr>
              <w:jc w:val="left"/>
            </w:pPr>
            <w:r/>
            <w:r>
              <w:rPr>
                <w:rFonts w:ascii="Arial" w:hAnsi="Arial"/>
                <w:b w:val="0"/>
                <w:color w:val="1F2937"/>
                <w:sz w:val="17"/>
              </w:rPr>
              <w:t>alle particuliere huishoudens of een duidelijk omschreven doelgroep</w:t>
            </w:r>
          </w:p>
        </w:tc>
      </w:tr>
      <w:tr>
        <w:trPr>
          <w:cantSplit/>
        </w:trPr>
        <w:tc>
          <w:tcPr>
            <w:tcW w:type="dxa" w:w="2835"/>
            <w:vAlign w:val="center"/>
            <w:tcMar>
              <w:top w:w="100" w:type="dxa"/>
              <w:start w:w="110" w:type="dxa"/>
              <w:bottom w:w="100" w:type="dxa"/>
              <w:end w:w="110" w:type="dxa"/>
            </w:tcMar>
            <w:shd w:fill="F3F5F7"/>
          </w:tcPr>
          <w:p>
            <w:pPr>
              <w:jc w:val="left"/>
            </w:pPr>
            <w:r/>
            <w:r>
              <w:rPr>
                <w:rFonts w:ascii="Arial" w:hAnsi="Arial"/>
                <w:b w:val="0"/>
                <w:color w:val="1F2937"/>
                <w:sz w:val="17"/>
              </w:rPr>
              <w:t>Beleidsvariant</w:t>
            </w:r>
          </w:p>
        </w:tc>
        <w:tc>
          <w:tcPr>
            <w:tcW w:type="dxa" w:w="6633"/>
            <w:vAlign w:val="center"/>
            <w:tcMar>
              <w:top w:w="100" w:type="dxa"/>
              <w:start w:w="110" w:type="dxa"/>
              <w:bottom w:w="100" w:type="dxa"/>
              <w:end w:w="110" w:type="dxa"/>
            </w:tcMar>
            <w:shd w:fill="F3F5F7"/>
          </w:tcPr>
          <w:p>
            <w:pPr>
              <w:jc w:val="left"/>
            </w:pPr>
            <w:r/>
            <w:r>
              <w:rPr>
                <w:rFonts w:ascii="Arial" w:hAnsi="Arial"/>
                <w:b w:val="0"/>
                <w:color w:val="1F2937"/>
                <w:sz w:val="17"/>
              </w:rPr>
              <w:t>huidig stelsel of scenario met basisinkomen en aangepaste regelingen</w:t>
            </w:r>
          </w:p>
        </w:tc>
      </w:tr>
      <w:tr>
        <w:trPr>
          <w:cantSplit/>
        </w:trPr>
        <w:tc>
          <w:tcPr>
            <w:tcW w:type="dxa" w:w="2835"/>
            <w:vAlign w:val="center"/>
            <w:tcMar>
              <w:top w:w="100" w:type="dxa"/>
              <w:start w:w="110" w:type="dxa"/>
              <w:bottom w:w="100" w:type="dxa"/>
              <w:end w:w="110" w:type="dxa"/>
            </w:tcMar>
          </w:tcPr>
          <w:p>
            <w:pPr>
              <w:jc w:val="left"/>
            </w:pPr>
            <w:r/>
            <w:r>
              <w:rPr>
                <w:rFonts w:ascii="Arial" w:hAnsi="Arial"/>
                <w:b w:val="0"/>
                <w:color w:val="1F2937"/>
                <w:sz w:val="17"/>
              </w:rPr>
              <w:t>Prijsniveau</w:t>
            </w:r>
          </w:p>
        </w:tc>
        <w:tc>
          <w:tcPr>
            <w:tcW w:type="dxa" w:w="6633"/>
            <w:vAlign w:val="center"/>
            <w:tcMar>
              <w:top w:w="100" w:type="dxa"/>
              <w:start w:w="110" w:type="dxa"/>
              <w:bottom w:w="100" w:type="dxa"/>
              <w:end w:w="110" w:type="dxa"/>
            </w:tcMar>
          </w:tcPr>
          <w:p>
            <w:pPr>
              <w:jc w:val="left"/>
            </w:pPr>
            <w:r/>
            <w:r>
              <w:rPr>
                <w:rFonts w:ascii="Arial" w:hAnsi="Arial"/>
                <w:b w:val="0"/>
                <w:color w:val="1F2937"/>
                <w:sz w:val="17"/>
              </w:rPr>
              <w:t>maand en jaar waarop inkomens en minimumbudgetten zijn gebaseerd</w:t>
            </w:r>
          </w:p>
        </w:tc>
      </w:tr>
    </w:tbl>
    <w:p>
      <w:pPr>
        <w:spacing w:after="20"/>
      </w:pPr>
    </w:p>
    <w:p>
      <w:pPr>
        <w:pStyle w:val="Heading1"/>
      </w:pPr>
      <w:r>
        <w:t>Adequate woningvoorraad</w:t>
      </w:r>
    </w:p>
    <w:p>
      <w:pPr>
        <w:pStyle w:val="Heading2"/>
      </w:pPr>
      <w:r>
        <w:t>Huishoudgroepen</w:t>
      </w:r>
    </w:p>
    <w:p>
      <w:r>
        <w:t>De populatie wordt verdeeld in niet overlappende groepen. Een bruikbare indeling combineert regio, huishoudgrootte, inkomensruimte en een eventuele toegankelijkheidsbehoefte. Iedere groep bevat huishoudens met een vergelijkbare minimale woningbehoefte. Groepen moeten samen de volledige onderzochte populatie vormen.</w:t>
      </w:r>
    </w:p>
    <w:p>
      <w:pPr>
        <w:pStyle w:val="Heading2"/>
      </w:pPr>
      <w:r>
        <w:t>Toets voor een adequate woning</w:t>
      </w:r>
    </w:p>
    <w:p>
      <w:r>
        <w:t>Een woning kan aan een huishouden worden gekoppeld wanneer alle onderstaande voorwaarden zijn aangetoond. Deze voorwaarden sluiten aan bij de internationale omschrijving van adequate huisvesting, waarin woonzekerheid, voorzieningen, betaalbaarheid, bewoonbaarheid, toegankelijkheid, locatie en culturele passendheid worden onderscheiden.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701"/>
            <w:shd w:fill="17324D"/>
            <w:vAlign w:val="center"/>
            <w:tcMar>
              <w:top w:w="100" w:type="dxa"/>
              <w:start w:w="110" w:type="dxa"/>
              <w:bottom w:w="100" w:type="dxa"/>
              <w:end w:w="110" w:type="dxa"/>
            </w:tcMar>
          </w:tcPr>
          <w:p>
            <w:pPr>
              <w:jc w:val="left"/>
            </w:pPr>
            <w:r/>
            <w:r>
              <w:rPr>
                <w:rFonts w:ascii="Arial" w:hAnsi="Arial"/>
                <w:b/>
                <w:color w:val="FFFFFF"/>
                <w:sz w:val="16"/>
              </w:rPr>
              <w:t>Voorwaarde</w:t>
            </w:r>
          </w:p>
        </w:tc>
        <w:tc>
          <w:tcPr>
            <w:tcW w:type="dxa" w:w="3969"/>
            <w:shd w:fill="17324D"/>
            <w:vAlign w:val="center"/>
            <w:tcMar>
              <w:top w:w="100" w:type="dxa"/>
              <w:start w:w="110" w:type="dxa"/>
              <w:bottom w:w="100" w:type="dxa"/>
              <w:end w:w="110" w:type="dxa"/>
            </w:tcMar>
          </w:tcPr>
          <w:p>
            <w:pPr>
              <w:jc w:val="left"/>
            </w:pPr>
            <w:r/>
            <w:r>
              <w:rPr>
                <w:rFonts w:ascii="Arial" w:hAnsi="Arial"/>
                <w:b/>
                <w:color w:val="FFFFFF"/>
                <w:sz w:val="16"/>
              </w:rPr>
              <w:t>Minimale toets</w:t>
            </w:r>
          </w:p>
        </w:tc>
        <w:tc>
          <w:tcPr>
            <w:tcW w:type="dxa" w:w="3798"/>
            <w:shd w:fill="17324D"/>
            <w:vAlign w:val="center"/>
            <w:tcMar>
              <w:top w:w="100" w:type="dxa"/>
              <w:start w:w="110" w:type="dxa"/>
              <w:bottom w:w="100" w:type="dxa"/>
              <w:end w:w="110" w:type="dxa"/>
            </w:tcMar>
          </w:tcPr>
          <w:p>
            <w:pPr>
              <w:jc w:val="left"/>
            </w:pPr>
            <w:r/>
            <w:r>
              <w:rPr>
                <w:rFonts w:ascii="Arial" w:hAnsi="Arial"/>
                <w:b/>
                <w:color w:val="FFFFFF"/>
                <w:sz w:val="16"/>
              </w:rPr>
              <w:t>Voorbeelden van gegevens</w:t>
            </w:r>
          </w:p>
        </w:tc>
      </w:tr>
      <w:tr>
        <w:trPr>
          <w:cantSplit/>
        </w:trPr>
        <w:tc>
          <w:tcPr>
            <w:tcW w:type="dxa" w:w="1701"/>
            <w:vAlign w:val="center"/>
            <w:tcMar>
              <w:top w:w="100" w:type="dxa"/>
              <w:start w:w="110" w:type="dxa"/>
              <w:bottom w:w="100" w:type="dxa"/>
              <w:end w:w="110" w:type="dxa"/>
            </w:tcMar>
          </w:tcPr>
          <w:p>
            <w:pPr>
              <w:jc w:val="left"/>
            </w:pPr>
            <w:r/>
            <w:r>
              <w:rPr>
                <w:rFonts w:ascii="Arial" w:hAnsi="Arial"/>
                <w:b w:val="0"/>
                <w:color w:val="1F2937"/>
                <w:sz w:val="16"/>
              </w:rPr>
              <w:t>Beschikbaar</w:t>
            </w:r>
          </w:p>
        </w:tc>
        <w:tc>
          <w:tcPr>
            <w:tcW w:type="dxa" w:w="3969"/>
            <w:vAlign w:val="center"/>
            <w:tcMar>
              <w:top w:w="100" w:type="dxa"/>
              <w:start w:w="110" w:type="dxa"/>
              <w:bottom w:w="100" w:type="dxa"/>
              <w:end w:w="110" w:type="dxa"/>
            </w:tcMar>
          </w:tcPr>
          <w:p>
            <w:pPr>
              <w:jc w:val="left"/>
            </w:pPr>
            <w:r/>
            <w:r>
              <w:rPr>
                <w:rFonts w:ascii="Arial" w:hAnsi="Arial"/>
                <w:b w:val="0"/>
                <w:color w:val="1F2937"/>
                <w:sz w:val="16"/>
              </w:rPr>
              <w:t>De woning is op de peildatum of binnen de gekozen periode werkelijk beschikbaar</w:t>
            </w:r>
          </w:p>
        </w:tc>
        <w:tc>
          <w:tcPr>
            <w:tcW w:type="dxa" w:w="3798"/>
            <w:vAlign w:val="center"/>
            <w:tcMar>
              <w:top w:w="100" w:type="dxa"/>
              <w:start w:w="110" w:type="dxa"/>
              <w:bottom w:w="100" w:type="dxa"/>
              <w:end w:w="110" w:type="dxa"/>
            </w:tcMar>
          </w:tcPr>
          <w:p>
            <w:pPr>
              <w:jc w:val="left"/>
            </w:pPr>
            <w:r/>
            <w:r>
              <w:rPr>
                <w:rFonts w:ascii="Arial" w:hAnsi="Arial"/>
                <w:b w:val="0"/>
                <w:color w:val="1F2937"/>
                <w:sz w:val="16"/>
              </w:rPr>
              <w:t>leegstandsstatus, mutatiedatum, opleverdatum</w:t>
            </w:r>
          </w:p>
        </w:tc>
      </w:tr>
      <w:tr>
        <w:trPr>
          <w:cantSplit/>
        </w:trPr>
        <w:tc>
          <w:tcPr>
            <w:tcW w:type="dxa" w:w="1701"/>
            <w:vAlign w:val="center"/>
            <w:tcMar>
              <w:top w:w="100" w:type="dxa"/>
              <w:start w:w="110" w:type="dxa"/>
              <w:bottom w:w="100" w:type="dxa"/>
              <w:end w:w="110" w:type="dxa"/>
            </w:tcMar>
            <w:shd w:fill="F3F5F7"/>
          </w:tcPr>
          <w:p>
            <w:pPr>
              <w:jc w:val="left"/>
            </w:pPr>
            <w:r/>
            <w:r>
              <w:rPr>
                <w:rFonts w:ascii="Arial" w:hAnsi="Arial"/>
                <w:b w:val="0"/>
                <w:color w:val="1F2937"/>
                <w:sz w:val="16"/>
              </w:rPr>
              <w:t>Passend</w:t>
            </w:r>
          </w:p>
        </w:tc>
        <w:tc>
          <w:tcPr>
            <w:tcW w:type="dxa" w:w="3969"/>
            <w:vAlign w:val="center"/>
            <w:tcMar>
              <w:top w:w="100" w:type="dxa"/>
              <w:start w:w="110" w:type="dxa"/>
              <w:bottom w:w="100" w:type="dxa"/>
              <w:end w:w="110" w:type="dxa"/>
            </w:tcMar>
            <w:shd w:fill="F3F5F7"/>
          </w:tcPr>
          <w:p>
            <w:pPr>
              <w:jc w:val="left"/>
            </w:pPr>
            <w:r/>
            <w:r>
              <w:rPr>
                <w:rFonts w:ascii="Arial" w:hAnsi="Arial"/>
                <w:b w:val="0"/>
                <w:color w:val="1F2937"/>
                <w:sz w:val="16"/>
              </w:rPr>
              <w:t>Oppervlakte, kamers en toegankelijkheid passen bij het huishouden</w:t>
            </w:r>
          </w:p>
        </w:tc>
        <w:tc>
          <w:tcPr>
            <w:tcW w:type="dxa" w:w="3798"/>
            <w:vAlign w:val="center"/>
            <w:tcMar>
              <w:top w:w="100" w:type="dxa"/>
              <w:start w:w="110" w:type="dxa"/>
              <w:bottom w:w="100" w:type="dxa"/>
              <w:end w:w="110" w:type="dxa"/>
            </w:tcMar>
            <w:shd w:fill="F3F5F7"/>
          </w:tcPr>
          <w:p>
            <w:pPr>
              <w:jc w:val="left"/>
            </w:pPr>
            <w:r/>
            <w:r>
              <w:rPr>
                <w:rFonts w:ascii="Arial" w:hAnsi="Arial"/>
                <w:b w:val="0"/>
                <w:color w:val="1F2937"/>
                <w:sz w:val="16"/>
              </w:rPr>
              <w:t>BAG, woningplattegrond, toegankelijkheidskenmerken</w:t>
            </w:r>
          </w:p>
        </w:tc>
      </w:tr>
      <w:tr>
        <w:trPr>
          <w:cantSplit/>
        </w:trPr>
        <w:tc>
          <w:tcPr>
            <w:tcW w:type="dxa" w:w="1701"/>
            <w:vAlign w:val="center"/>
            <w:tcMar>
              <w:top w:w="100" w:type="dxa"/>
              <w:start w:w="110" w:type="dxa"/>
              <w:bottom w:w="100" w:type="dxa"/>
              <w:end w:w="110" w:type="dxa"/>
            </w:tcMar>
          </w:tcPr>
          <w:p>
            <w:pPr>
              <w:jc w:val="left"/>
            </w:pPr>
            <w:r/>
            <w:r>
              <w:rPr>
                <w:rFonts w:ascii="Arial" w:hAnsi="Arial"/>
                <w:b w:val="0"/>
                <w:color w:val="1F2937"/>
                <w:sz w:val="16"/>
              </w:rPr>
              <w:t>Betaalbaar</w:t>
            </w:r>
          </w:p>
        </w:tc>
        <w:tc>
          <w:tcPr>
            <w:tcW w:type="dxa" w:w="3969"/>
            <w:vAlign w:val="center"/>
            <w:tcMar>
              <w:top w:w="100" w:type="dxa"/>
              <w:start w:w="110" w:type="dxa"/>
              <w:bottom w:w="100" w:type="dxa"/>
              <w:end w:w="110" w:type="dxa"/>
            </w:tcMar>
          </w:tcPr>
          <w:p>
            <w:pPr>
              <w:jc w:val="left"/>
            </w:pPr>
            <w:r/>
            <w:r>
              <w:rPr>
                <w:rFonts w:ascii="Arial" w:hAnsi="Arial"/>
                <w:b w:val="0"/>
                <w:color w:val="1F2937"/>
                <w:sz w:val="16"/>
              </w:rPr>
              <w:t>Na woonlasten blijft het minimale niet woongebonden budget beschikbaar</w:t>
            </w:r>
          </w:p>
        </w:tc>
        <w:tc>
          <w:tcPr>
            <w:tcW w:type="dxa" w:w="3798"/>
            <w:vAlign w:val="center"/>
            <w:tcMar>
              <w:top w:w="100" w:type="dxa"/>
              <w:start w:w="110" w:type="dxa"/>
              <w:bottom w:w="100" w:type="dxa"/>
              <w:end w:w="110" w:type="dxa"/>
            </w:tcMar>
          </w:tcPr>
          <w:p>
            <w:pPr>
              <w:jc w:val="left"/>
            </w:pPr>
            <w:r/>
            <w:r>
              <w:rPr>
                <w:rFonts w:ascii="Arial" w:hAnsi="Arial"/>
                <w:b w:val="0"/>
                <w:color w:val="1F2937"/>
                <w:sz w:val="16"/>
              </w:rPr>
              <w:t>netto inkomen, huur of financieringslast, servicekosten, energie</w:t>
            </w:r>
          </w:p>
        </w:tc>
      </w:tr>
      <w:tr>
        <w:trPr>
          <w:cantSplit/>
        </w:trPr>
        <w:tc>
          <w:tcPr>
            <w:tcW w:type="dxa" w:w="1701"/>
            <w:vAlign w:val="center"/>
            <w:tcMar>
              <w:top w:w="100" w:type="dxa"/>
              <w:start w:w="110" w:type="dxa"/>
              <w:bottom w:w="100" w:type="dxa"/>
              <w:end w:w="110" w:type="dxa"/>
            </w:tcMar>
            <w:shd w:fill="F3F5F7"/>
          </w:tcPr>
          <w:p>
            <w:pPr>
              <w:jc w:val="left"/>
            </w:pPr>
            <w:r/>
            <w:r>
              <w:rPr>
                <w:rFonts w:ascii="Arial" w:hAnsi="Arial"/>
                <w:b w:val="0"/>
                <w:color w:val="1F2937"/>
                <w:sz w:val="16"/>
              </w:rPr>
              <w:t>Kwaliteit</w:t>
            </w:r>
          </w:p>
        </w:tc>
        <w:tc>
          <w:tcPr>
            <w:tcW w:type="dxa" w:w="3969"/>
            <w:vAlign w:val="center"/>
            <w:tcMar>
              <w:top w:w="100" w:type="dxa"/>
              <w:start w:w="110" w:type="dxa"/>
              <w:bottom w:w="100" w:type="dxa"/>
              <w:end w:w="110" w:type="dxa"/>
            </w:tcMar>
            <w:shd w:fill="F3F5F7"/>
          </w:tcPr>
          <w:p>
            <w:pPr>
              <w:jc w:val="left"/>
            </w:pPr>
            <w:r/>
            <w:r>
              <w:rPr>
                <w:rFonts w:ascii="Arial" w:hAnsi="Arial"/>
                <w:b w:val="0"/>
                <w:color w:val="1F2937"/>
                <w:sz w:val="16"/>
              </w:rPr>
              <w:t>De woning is gezond, veilig, bruikbaar en voldoende comfortabel</w:t>
            </w:r>
          </w:p>
        </w:tc>
        <w:tc>
          <w:tcPr>
            <w:tcW w:type="dxa" w:w="3798"/>
            <w:vAlign w:val="center"/>
            <w:tcMar>
              <w:top w:w="100" w:type="dxa"/>
              <w:start w:w="110" w:type="dxa"/>
              <w:bottom w:w="100" w:type="dxa"/>
              <w:end w:w="110" w:type="dxa"/>
            </w:tcMar>
            <w:shd w:fill="F3F5F7"/>
          </w:tcPr>
          <w:p>
            <w:pPr>
              <w:jc w:val="left"/>
            </w:pPr>
            <w:r/>
            <w:r>
              <w:rPr>
                <w:rFonts w:ascii="Arial" w:hAnsi="Arial"/>
                <w:b w:val="0"/>
                <w:color w:val="1F2937"/>
                <w:sz w:val="16"/>
              </w:rPr>
              <w:t>gebreken, vocht, ventilatie, veiligheid, bewonerservaring</w:t>
            </w:r>
          </w:p>
        </w:tc>
      </w:tr>
      <w:tr>
        <w:trPr>
          <w:cantSplit/>
        </w:trPr>
        <w:tc>
          <w:tcPr>
            <w:tcW w:type="dxa" w:w="1701"/>
            <w:vAlign w:val="center"/>
            <w:tcMar>
              <w:top w:w="100" w:type="dxa"/>
              <w:start w:w="110" w:type="dxa"/>
              <w:bottom w:w="100" w:type="dxa"/>
              <w:end w:w="110" w:type="dxa"/>
            </w:tcMar>
          </w:tcPr>
          <w:p>
            <w:pPr>
              <w:jc w:val="left"/>
            </w:pPr>
            <w:r/>
            <w:r>
              <w:rPr>
                <w:rFonts w:ascii="Arial" w:hAnsi="Arial"/>
                <w:b w:val="0"/>
                <w:color w:val="1F2937"/>
                <w:sz w:val="16"/>
              </w:rPr>
              <w:t>Locatie</w:t>
            </w:r>
          </w:p>
        </w:tc>
        <w:tc>
          <w:tcPr>
            <w:tcW w:type="dxa" w:w="3969"/>
            <w:vAlign w:val="center"/>
            <w:tcMar>
              <w:top w:w="100" w:type="dxa"/>
              <w:start w:w="110" w:type="dxa"/>
              <w:bottom w:w="100" w:type="dxa"/>
              <w:end w:w="110" w:type="dxa"/>
            </w:tcMar>
          </w:tcPr>
          <w:p>
            <w:pPr>
              <w:jc w:val="left"/>
            </w:pPr>
            <w:r/>
            <w:r>
              <w:rPr>
                <w:rFonts w:ascii="Arial" w:hAnsi="Arial"/>
                <w:b w:val="0"/>
                <w:color w:val="1F2937"/>
                <w:sz w:val="16"/>
              </w:rPr>
              <w:t>Noodzakelijke voorzieningen en dagelijkse verplaatsingen zijn bereikbaar</w:t>
            </w:r>
          </w:p>
        </w:tc>
        <w:tc>
          <w:tcPr>
            <w:tcW w:type="dxa" w:w="3798"/>
            <w:vAlign w:val="center"/>
            <w:tcMar>
              <w:top w:w="100" w:type="dxa"/>
              <w:start w:w="110" w:type="dxa"/>
              <w:bottom w:w="100" w:type="dxa"/>
              <w:end w:w="110" w:type="dxa"/>
            </w:tcMar>
          </w:tcPr>
          <w:p>
            <w:pPr>
              <w:jc w:val="left"/>
            </w:pPr>
            <w:r/>
            <w:r>
              <w:rPr>
                <w:rFonts w:ascii="Arial" w:hAnsi="Arial"/>
                <w:b w:val="0"/>
                <w:color w:val="1F2937"/>
                <w:sz w:val="16"/>
              </w:rPr>
              <w:t>reistijden, openbaar vervoer, zorg, onderwijs en winkels</w:t>
            </w:r>
          </w:p>
        </w:tc>
      </w:tr>
      <w:tr>
        <w:trPr>
          <w:cantSplit/>
        </w:trPr>
        <w:tc>
          <w:tcPr>
            <w:tcW w:type="dxa" w:w="1701"/>
            <w:vAlign w:val="center"/>
            <w:tcMar>
              <w:top w:w="100" w:type="dxa"/>
              <w:start w:w="110" w:type="dxa"/>
              <w:bottom w:w="100" w:type="dxa"/>
              <w:end w:w="110" w:type="dxa"/>
            </w:tcMar>
            <w:shd w:fill="F3F5F7"/>
          </w:tcPr>
          <w:p>
            <w:pPr>
              <w:jc w:val="left"/>
            </w:pPr>
            <w:r/>
            <w:r>
              <w:rPr>
                <w:rFonts w:ascii="Arial" w:hAnsi="Arial"/>
                <w:b w:val="0"/>
                <w:color w:val="1F2937"/>
                <w:sz w:val="16"/>
              </w:rPr>
              <w:t>Woonzekerheid</w:t>
            </w:r>
          </w:p>
        </w:tc>
        <w:tc>
          <w:tcPr>
            <w:tcW w:type="dxa" w:w="3969"/>
            <w:vAlign w:val="center"/>
            <w:tcMar>
              <w:top w:w="100" w:type="dxa"/>
              <w:start w:w="110" w:type="dxa"/>
              <w:bottom w:w="100" w:type="dxa"/>
              <w:end w:w="110" w:type="dxa"/>
            </w:tcMar>
            <w:shd w:fill="F3F5F7"/>
          </w:tcPr>
          <w:p>
            <w:pPr>
              <w:jc w:val="left"/>
            </w:pPr>
            <w:r/>
            <w:r>
              <w:rPr>
                <w:rFonts w:ascii="Arial" w:hAnsi="Arial"/>
                <w:b w:val="0"/>
                <w:color w:val="1F2937"/>
                <w:sz w:val="16"/>
              </w:rPr>
              <w:t>Het huishouden heeft een voldoende zekere en rechtmatige woonpositie</w:t>
            </w:r>
          </w:p>
        </w:tc>
        <w:tc>
          <w:tcPr>
            <w:tcW w:type="dxa" w:w="3798"/>
            <w:vAlign w:val="center"/>
            <w:tcMar>
              <w:top w:w="100" w:type="dxa"/>
              <w:start w:w="110" w:type="dxa"/>
              <w:bottom w:w="100" w:type="dxa"/>
              <w:end w:w="110" w:type="dxa"/>
            </w:tcMar>
            <w:shd w:fill="F3F5F7"/>
          </w:tcPr>
          <w:p>
            <w:pPr>
              <w:jc w:val="left"/>
            </w:pPr>
            <w:r/>
            <w:r>
              <w:rPr>
                <w:rFonts w:ascii="Arial" w:hAnsi="Arial"/>
                <w:b w:val="0"/>
                <w:color w:val="1F2937"/>
                <w:sz w:val="16"/>
              </w:rPr>
              <w:t>contractduur, bescherming tegen verlies van de woning</w:t>
            </w:r>
          </w:p>
        </w:tc>
      </w:tr>
    </w:tbl>
    <w:p>
      <w:pPr>
        <w:spacing w:after="20"/>
      </w:pPr>
    </w:p>
    <w:p>
      <w:pPr>
        <w:pStyle w:val="Heading2"/>
      </w:pPr>
      <w:r>
        <w:t>Woningdekking</w:t>
      </w:r>
    </w:p>
    <w:p>
      <w:r>
        <w:t>Voor iedere groep g is D het aantal huishoudens dat een woning nodig heeft. M is het aantal huishoudens dat na een een op een koppeling werkelijk aan een adequate woning kan worden toegewezen. De woningdekkingsscore AW loopt van 0 tot 100.</w:t>
      </w:r>
    </w:p>
    <w:p>
      <w:pPr>
        <w:spacing w:before="100" w:after="140"/>
        <w:jc w:val="center"/>
      </w:pPr>
      <w:r>
        <w:drawing>
          <wp:inline xmlns:a="http://schemas.openxmlformats.org/drawingml/2006/main" xmlns:pic="http://schemas.openxmlformats.org/drawingml/2006/picture">
            <wp:extent cx="3840480" cy="492748"/>
            <wp:docPr id="1" name="Picture 1"/>
            <wp:cNvGraphicFramePr>
              <a:graphicFrameLocks noChangeAspect="1"/>
            </wp:cNvGraphicFramePr>
            <a:graphic>
              <a:graphicData uri="http://schemas.openxmlformats.org/drawingml/2006/picture">
                <pic:pic>
                  <pic:nvPicPr>
                    <pic:cNvPr id="0" name="aw.png"/>
                    <pic:cNvPicPr/>
                  </pic:nvPicPr>
                  <pic:blipFill>
                    <a:blip r:embed="rId10"/>
                    <a:stretch>
                      <a:fillRect/>
                    </a:stretch>
                  </pic:blipFill>
                  <pic:spPr>
                    <a:xfrm>
                      <a:off x="0" y="0"/>
                      <a:ext cx="3840480" cy="49274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474"/>
            <w:shd w:fill="17324D"/>
            <w:vAlign w:val="center"/>
            <w:tcMar>
              <w:top w:w="100" w:type="dxa"/>
              <w:start w:w="110" w:type="dxa"/>
              <w:bottom w:w="100" w:type="dxa"/>
              <w:end w:w="110" w:type="dxa"/>
            </w:tcMar>
          </w:tcPr>
          <w:p>
            <w:pPr>
              <w:jc w:val="left"/>
            </w:pPr>
            <w:r/>
            <w:r>
              <w:rPr>
                <w:rFonts w:ascii="Arial" w:hAnsi="Arial"/>
                <w:b/>
                <w:color w:val="FFFFFF"/>
                <w:sz w:val="17"/>
              </w:rPr>
              <w:t>Symbool</w:t>
            </w:r>
          </w:p>
        </w:tc>
        <w:tc>
          <w:tcPr>
            <w:tcW w:type="dxa" w:w="6009"/>
            <w:shd w:fill="17324D"/>
            <w:vAlign w:val="center"/>
            <w:tcMar>
              <w:top w:w="100" w:type="dxa"/>
              <w:start w:w="110" w:type="dxa"/>
              <w:bottom w:w="100" w:type="dxa"/>
              <w:end w:w="110" w:type="dxa"/>
            </w:tcMar>
          </w:tcPr>
          <w:p>
            <w:pPr>
              <w:jc w:val="left"/>
            </w:pPr>
            <w:r/>
            <w:r>
              <w:rPr>
                <w:rFonts w:ascii="Arial" w:hAnsi="Arial"/>
                <w:b/>
                <w:color w:val="FFFFFF"/>
                <w:sz w:val="17"/>
              </w:rPr>
              <w:t>Betekenis</w:t>
            </w:r>
          </w:p>
        </w:tc>
        <w:tc>
          <w:tcPr>
            <w:tcW w:type="dxa" w:w="1984"/>
            <w:shd w:fill="17324D"/>
            <w:vAlign w:val="center"/>
            <w:tcMar>
              <w:top w:w="100" w:type="dxa"/>
              <w:start w:w="110" w:type="dxa"/>
              <w:bottom w:w="100" w:type="dxa"/>
              <w:end w:w="110" w:type="dxa"/>
            </w:tcMar>
          </w:tcPr>
          <w:p>
            <w:pPr>
              <w:jc w:val="left"/>
            </w:pPr>
            <w:r/>
            <w:r>
              <w:rPr>
                <w:rFonts w:ascii="Arial" w:hAnsi="Arial"/>
                <w:b/>
                <w:color w:val="FFFFFF"/>
                <w:sz w:val="17"/>
              </w:rPr>
              <w:t>Eenheid</w:t>
            </w:r>
          </w:p>
        </w:tc>
      </w:tr>
      <w:tr>
        <w:trPr>
          <w:cantSplit/>
        </w:trPr>
        <w:tc>
          <w:tcPr>
            <w:tcW w:type="dxa" w:w="1474"/>
            <w:vAlign w:val="center"/>
            <w:tcMar>
              <w:top w:w="100" w:type="dxa"/>
              <w:start w:w="110" w:type="dxa"/>
              <w:bottom w:w="100" w:type="dxa"/>
              <w:end w:w="110" w:type="dxa"/>
            </w:tcMar>
          </w:tcPr>
          <w:p>
            <w:pPr>
              <w:jc w:val="left"/>
            </w:pPr>
            <w:r/>
            <w:r>
              <w:rPr>
                <w:rFonts w:ascii="Arial" w:hAnsi="Arial"/>
                <w:b w:val="0"/>
                <w:color w:val="1F2937"/>
                <w:sz w:val="17"/>
              </w:rPr>
              <w:t>AW</w:t>
            </w:r>
          </w:p>
        </w:tc>
        <w:tc>
          <w:tcPr>
            <w:tcW w:type="dxa" w:w="6009"/>
            <w:vAlign w:val="center"/>
            <w:tcMar>
              <w:top w:w="100" w:type="dxa"/>
              <w:start w:w="110" w:type="dxa"/>
              <w:bottom w:w="100" w:type="dxa"/>
              <w:end w:w="110" w:type="dxa"/>
            </w:tcMar>
          </w:tcPr>
          <w:p>
            <w:pPr>
              <w:jc w:val="left"/>
            </w:pPr>
            <w:r/>
            <w:r>
              <w:rPr>
                <w:rFonts w:ascii="Arial" w:hAnsi="Arial"/>
                <w:b w:val="0"/>
                <w:color w:val="1F2937"/>
                <w:sz w:val="17"/>
              </w:rPr>
              <w:t>score adequate woningvoorraad</w:t>
            </w:r>
          </w:p>
        </w:tc>
        <w:tc>
          <w:tcPr>
            <w:tcW w:type="dxa" w:w="1984"/>
            <w:vAlign w:val="center"/>
            <w:tcMar>
              <w:top w:w="100" w:type="dxa"/>
              <w:start w:w="110" w:type="dxa"/>
              <w:bottom w:w="100" w:type="dxa"/>
              <w:end w:w="110" w:type="dxa"/>
            </w:tcMar>
          </w:tcPr>
          <w:p>
            <w:pPr>
              <w:jc w:val="left"/>
            </w:pPr>
            <w:r/>
            <w:r>
              <w:rPr>
                <w:rFonts w:ascii="Arial" w:hAnsi="Arial"/>
                <w:b w:val="0"/>
                <w:color w:val="1F2937"/>
                <w:sz w:val="17"/>
              </w:rPr>
              <w:t>percentage van 0 tot 100</w:t>
            </w:r>
          </w:p>
        </w:tc>
      </w:tr>
      <w:tr>
        <w:trPr>
          <w:cantSplit/>
        </w:trPr>
        <w:tc>
          <w:tcPr>
            <w:tcW w:type="dxa" w:w="1474"/>
            <w:vAlign w:val="center"/>
            <w:tcMar>
              <w:top w:w="100" w:type="dxa"/>
              <w:start w:w="110" w:type="dxa"/>
              <w:bottom w:w="100" w:type="dxa"/>
              <w:end w:w="110" w:type="dxa"/>
            </w:tcMar>
            <w:shd w:fill="F3F5F7"/>
          </w:tcPr>
          <w:p>
            <w:pPr>
              <w:jc w:val="left"/>
            </w:pPr>
            <w:r/>
            <w:r>
              <w:rPr>
                <w:rFonts w:ascii="Arial" w:hAnsi="Arial"/>
                <w:b w:val="0"/>
                <w:color w:val="1F2937"/>
                <w:sz w:val="17"/>
              </w:rPr>
              <w:t>Dg</w:t>
            </w:r>
          </w:p>
        </w:tc>
        <w:tc>
          <w:tcPr>
            <w:tcW w:type="dxa" w:w="6009"/>
            <w:vAlign w:val="center"/>
            <w:tcMar>
              <w:top w:w="100" w:type="dxa"/>
              <w:start w:w="110" w:type="dxa"/>
              <w:bottom w:w="100" w:type="dxa"/>
              <w:end w:w="110" w:type="dxa"/>
            </w:tcMar>
            <w:shd w:fill="F3F5F7"/>
          </w:tcPr>
          <w:p>
            <w:pPr>
              <w:jc w:val="left"/>
            </w:pPr>
            <w:r/>
            <w:r>
              <w:rPr>
                <w:rFonts w:ascii="Arial" w:hAnsi="Arial"/>
                <w:b w:val="0"/>
                <w:color w:val="1F2937"/>
                <w:sz w:val="17"/>
              </w:rPr>
              <w:t>huishoudens met een woningbehoefte in groep g</w:t>
            </w:r>
          </w:p>
        </w:tc>
        <w:tc>
          <w:tcPr>
            <w:tcW w:type="dxa" w:w="1984"/>
            <w:vAlign w:val="center"/>
            <w:tcMar>
              <w:top w:w="100" w:type="dxa"/>
              <w:start w:w="110" w:type="dxa"/>
              <w:bottom w:w="100" w:type="dxa"/>
              <w:end w:w="110" w:type="dxa"/>
            </w:tcMar>
            <w:shd w:fill="F3F5F7"/>
          </w:tcPr>
          <w:p>
            <w:pPr>
              <w:jc w:val="left"/>
            </w:pPr>
            <w:r/>
            <w:r>
              <w:rPr>
                <w:rFonts w:ascii="Arial" w:hAnsi="Arial"/>
                <w:b w:val="0"/>
                <w:color w:val="1F2937"/>
                <w:sz w:val="17"/>
              </w:rPr>
              <w:t>huishoudens</w:t>
            </w:r>
          </w:p>
        </w:tc>
      </w:tr>
      <w:tr>
        <w:trPr>
          <w:cantSplit/>
        </w:trPr>
        <w:tc>
          <w:tcPr>
            <w:tcW w:type="dxa" w:w="1474"/>
            <w:vAlign w:val="center"/>
            <w:tcMar>
              <w:top w:w="100" w:type="dxa"/>
              <w:start w:w="110" w:type="dxa"/>
              <w:bottom w:w="100" w:type="dxa"/>
              <w:end w:w="110" w:type="dxa"/>
            </w:tcMar>
          </w:tcPr>
          <w:p>
            <w:pPr>
              <w:jc w:val="left"/>
            </w:pPr>
            <w:r/>
            <w:r>
              <w:rPr>
                <w:rFonts w:ascii="Arial" w:hAnsi="Arial"/>
                <w:b w:val="0"/>
                <w:color w:val="1F2937"/>
                <w:sz w:val="17"/>
              </w:rPr>
              <w:t>Mg</w:t>
            </w:r>
          </w:p>
        </w:tc>
        <w:tc>
          <w:tcPr>
            <w:tcW w:type="dxa" w:w="6009"/>
            <w:vAlign w:val="center"/>
            <w:tcMar>
              <w:top w:w="100" w:type="dxa"/>
              <w:start w:w="110" w:type="dxa"/>
              <w:bottom w:w="100" w:type="dxa"/>
              <w:end w:w="110" w:type="dxa"/>
            </w:tcMar>
          </w:tcPr>
          <w:p>
            <w:pPr>
              <w:jc w:val="left"/>
            </w:pPr>
            <w:r/>
            <w:r>
              <w:rPr>
                <w:rFonts w:ascii="Arial" w:hAnsi="Arial"/>
                <w:b w:val="0"/>
                <w:color w:val="1F2937"/>
                <w:sz w:val="17"/>
              </w:rPr>
              <w:t>huishoudens in groep g met een adequate koppeling</w:t>
            </w:r>
          </w:p>
        </w:tc>
        <w:tc>
          <w:tcPr>
            <w:tcW w:type="dxa" w:w="1984"/>
            <w:vAlign w:val="center"/>
            <w:tcMar>
              <w:top w:w="100" w:type="dxa"/>
              <w:start w:w="110" w:type="dxa"/>
              <w:bottom w:w="100" w:type="dxa"/>
              <w:end w:w="110" w:type="dxa"/>
            </w:tcMar>
          </w:tcPr>
          <w:p>
            <w:pPr>
              <w:jc w:val="left"/>
            </w:pPr>
            <w:r/>
            <w:r>
              <w:rPr>
                <w:rFonts w:ascii="Arial" w:hAnsi="Arial"/>
                <w:b w:val="0"/>
                <w:color w:val="1F2937"/>
                <w:sz w:val="17"/>
              </w:rPr>
              <w:t>huishoudens</w:t>
            </w:r>
          </w:p>
        </w:tc>
      </w:tr>
    </w:tbl>
    <w:p>
      <w:pPr>
        <w:spacing w:after="20"/>
      </w:pPr>
    </w:p>
    <w:p>
      <w:pPr>
        <w:pStyle w:val="Heading2"/>
      </w:pPr>
      <w:r>
        <w:t>Woningtekort</w:t>
      </w:r>
    </w:p>
    <w:p>
      <w:r>
        <w:t>Dezelfde gegevens leveren het tekort per groep en het totale tekort op.</w:t>
      </w:r>
    </w:p>
    <w:p>
      <w:pPr>
        <w:spacing w:before="100" w:after="140"/>
        <w:jc w:val="center"/>
      </w:pPr>
      <w:r>
        <w:drawing>
          <wp:inline xmlns:a="http://schemas.openxmlformats.org/drawingml/2006/main" xmlns:pic="http://schemas.openxmlformats.org/drawingml/2006/picture">
            <wp:extent cx="4846320" cy="437822"/>
            <wp:docPr id="2" name="Picture 2"/>
            <wp:cNvGraphicFramePr>
              <a:graphicFrameLocks noChangeAspect="1"/>
            </wp:cNvGraphicFramePr>
            <a:graphic>
              <a:graphicData uri="http://schemas.openxmlformats.org/drawingml/2006/picture">
                <pic:pic>
                  <pic:nvPicPr>
                    <pic:cNvPr id="0" name="shortage.png"/>
                    <pic:cNvPicPr/>
                  </pic:nvPicPr>
                  <pic:blipFill>
                    <a:blip r:embed="rId11"/>
                    <a:stretch>
                      <a:fillRect/>
                    </a:stretch>
                  </pic:blipFill>
                  <pic:spPr>
                    <a:xfrm>
                      <a:off x="0" y="0"/>
                      <a:ext cx="4846320" cy="437822"/>
                    </a:xfrm>
                    <a:prstGeom prst="rect"/>
                  </pic:spPr>
                </pic:pic>
              </a:graphicData>
            </a:graphic>
          </wp:inline>
        </w:drawing>
      </w:r>
    </w:p>
    <w:p>
      <w:r>
        <w:t>De hoofdscore wordt altijd samen met het totale tekort, de dekking per groep en de laagste groepsdekking gepubliceerd. Een totaalscore kan anders verhullen dat bijvoorbeeld alleenstaanden, jongeren of mensen met een toegankelijke woningbehoefte nauwelijks terechtkunnen.</w:t>
      </w:r>
    </w:p>
    <w:p>
      <w:pPr>
        <w:pStyle w:val="Heading2"/>
      </w:pPr>
      <w:r>
        <w:t>Betaalbaarheid volgens restinkomen</w:t>
      </w:r>
    </w:p>
    <w:p>
      <w:r>
        <w:t>Een vaste maximale woonquote is bruikbaar als waarschuwingssignaal, maar vormt niet de hoofdtoets. Bij lage inkomens kan een woonquote onder een algemene grens alsnog onvoldoende geld voor dagelijkse uitgaven overlaten. Daarom gebruikt versie 0.1 een restinkomenstoets.</w:t>
      </w:r>
    </w:p>
    <w:p>
      <w:pPr>
        <w:spacing w:before="100" w:after="140"/>
        <w:jc w:val="center"/>
      </w:pPr>
      <w:r>
        <w:drawing>
          <wp:inline xmlns:a="http://schemas.openxmlformats.org/drawingml/2006/main" xmlns:pic="http://schemas.openxmlformats.org/drawingml/2006/picture">
            <wp:extent cx="3200400" cy="287590"/>
            <wp:docPr id="3" name="Picture 3"/>
            <wp:cNvGraphicFramePr>
              <a:graphicFrameLocks noChangeAspect="1"/>
            </wp:cNvGraphicFramePr>
            <a:graphic>
              <a:graphicData uri="http://schemas.openxmlformats.org/drawingml/2006/picture">
                <pic:pic>
                  <pic:nvPicPr>
                    <pic:cNvPr id="0" name="affordable.png"/>
                    <pic:cNvPicPr/>
                  </pic:nvPicPr>
                  <pic:blipFill>
                    <a:blip r:embed="rId12"/>
                    <a:stretch>
                      <a:fillRect/>
                    </a:stretch>
                  </pic:blipFill>
                  <pic:spPr>
                    <a:xfrm>
                      <a:off x="0" y="0"/>
                      <a:ext cx="3200400" cy="28759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531"/>
            <w:shd w:fill="17324D"/>
            <w:vAlign w:val="center"/>
            <w:tcMar>
              <w:top w:w="100" w:type="dxa"/>
              <w:start w:w="110" w:type="dxa"/>
              <w:bottom w:w="100" w:type="dxa"/>
              <w:end w:w="110" w:type="dxa"/>
            </w:tcMar>
          </w:tcPr>
          <w:p>
            <w:pPr>
              <w:jc w:val="left"/>
            </w:pPr>
            <w:r/>
            <w:r>
              <w:rPr>
                <w:rFonts w:ascii="Arial" w:hAnsi="Arial"/>
                <w:b/>
                <w:color w:val="FFFFFF"/>
                <w:sz w:val="17"/>
              </w:rPr>
              <w:t>Symbool</w:t>
            </w:r>
          </w:p>
        </w:tc>
        <w:tc>
          <w:tcPr>
            <w:tcW w:type="dxa" w:w="7937"/>
            <w:shd w:fill="17324D"/>
            <w:vAlign w:val="center"/>
            <w:tcMar>
              <w:top w:w="100" w:type="dxa"/>
              <w:start w:w="110" w:type="dxa"/>
              <w:bottom w:w="100" w:type="dxa"/>
              <w:end w:w="110" w:type="dxa"/>
            </w:tcMar>
          </w:tcPr>
          <w:p>
            <w:pPr>
              <w:jc w:val="left"/>
            </w:pPr>
            <w:r/>
            <w:r>
              <w:rPr>
                <w:rFonts w:ascii="Arial" w:hAnsi="Arial"/>
                <w:b/>
                <w:color w:val="FFFFFF"/>
                <w:sz w:val="17"/>
              </w:rPr>
              <w:t>Betekenis</w:t>
            </w:r>
          </w:p>
        </w:tc>
      </w:tr>
      <w:tr>
        <w:trPr>
          <w:cantSplit/>
        </w:trPr>
        <w:tc>
          <w:tcPr>
            <w:tcW w:type="dxa" w:w="1531"/>
            <w:vAlign w:val="center"/>
            <w:tcMar>
              <w:top w:w="100" w:type="dxa"/>
              <w:start w:w="110" w:type="dxa"/>
              <w:bottom w:w="100" w:type="dxa"/>
              <w:end w:w="110" w:type="dxa"/>
            </w:tcMar>
          </w:tcPr>
          <w:p>
            <w:pPr>
              <w:jc w:val="left"/>
            </w:pPr>
            <w:r/>
            <w:r>
              <w:rPr>
                <w:rFonts w:ascii="Arial" w:hAnsi="Arial"/>
                <w:b w:val="0"/>
                <w:color w:val="1F2937"/>
                <w:sz w:val="17"/>
              </w:rPr>
              <w:t>Yh</w:t>
            </w:r>
          </w:p>
        </w:tc>
        <w:tc>
          <w:tcPr>
            <w:tcW w:type="dxa" w:w="7937"/>
            <w:vAlign w:val="center"/>
            <w:tcMar>
              <w:top w:w="100" w:type="dxa"/>
              <w:start w:w="110" w:type="dxa"/>
              <w:bottom w:w="100" w:type="dxa"/>
              <w:end w:w="110" w:type="dxa"/>
            </w:tcMar>
          </w:tcPr>
          <w:p>
            <w:pPr>
              <w:jc w:val="left"/>
            </w:pPr>
            <w:r/>
            <w:r>
              <w:rPr>
                <w:rFonts w:ascii="Arial" w:hAnsi="Arial"/>
                <w:b w:val="0"/>
                <w:color w:val="1F2937"/>
                <w:sz w:val="17"/>
              </w:rPr>
              <w:t>netto besteedbaar inkomen van huishouden h exclusief het doorgerekende basisinkomen</w:t>
            </w:r>
          </w:p>
        </w:tc>
      </w:tr>
      <w:tr>
        <w:trPr>
          <w:cantSplit/>
        </w:trPr>
        <w:tc>
          <w:tcPr>
            <w:tcW w:type="dxa" w:w="1531"/>
            <w:vAlign w:val="center"/>
            <w:tcMar>
              <w:top w:w="100" w:type="dxa"/>
              <w:start w:w="110" w:type="dxa"/>
              <w:bottom w:w="100" w:type="dxa"/>
              <w:end w:w="110" w:type="dxa"/>
            </w:tcMar>
            <w:shd w:fill="F3F5F7"/>
          </w:tcPr>
          <w:p>
            <w:pPr>
              <w:jc w:val="left"/>
            </w:pPr>
            <w:r/>
            <w:r>
              <w:rPr>
                <w:rFonts w:ascii="Arial" w:hAnsi="Arial"/>
                <w:b w:val="0"/>
                <w:color w:val="1F2937"/>
                <w:sz w:val="17"/>
              </w:rPr>
              <w:t>Uh</w:t>
            </w:r>
          </w:p>
        </w:tc>
        <w:tc>
          <w:tcPr>
            <w:tcW w:type="dxa" w:w="7937"/>
            <w:vAlign w:val="center"/>
            <w:tcMar>
              <w:top w:w="100" w:type="dxa"/>
              <w:start w:w="110" w:type="dxa"/>
              <w:bottom w:w="100" w:type="dxa"/>
              <w:end w:w="110" w:type="dxa"/>
            </w:tcMar>
            <w:shd w:fill="F3F5F7"/>
          </w:tcPr>
          <w:p>
            <w:pPr>
              <w:jc w:val="left"/>
            </w:pPr>
            <w:r/>
            <w:r>
              <w:rPr>
                <w:rFonts w:ascii="Arial" w:hAnsi="Arial"/>
                <w:b w:val="0"/>
                <w:color w:val="1F2937"/>
                <w:sz w:val="17"/>
              </w:rPr>
              <w:t>basisinkomen dat huishouden h in het scenario ontvangt</w:t>
            </w:r>
          </w:p>
        </w:tc>
      </w:tr>
      <w:tr>
        <w:trPr>
          <w:cantSplit/>
        </w:trPr>
        <w:tc>
          <w:tcPr>
            <w:tcW w:type="dxa" w:w="1531"/>
            <w:vAlign w:val="center"/>
            <w:tcMar>
              <w:top w:w="100" w:type="dxa"/>
              <w:start w:w="110" w:type="dxa"/>
              <w:bottom w:w="100" w:type="dxa"/>
              <w:end w:w="110" w:type="dxa"/>
            </w:tcMar>
          </w:tcPr>
          <w:p>
            <w:pPr>
              <w:jc w:val="left"/>
            </w:pPr>
            <w:r/>
            <w:r>
              <w:rPr>
                <w:rFonts w:ascii="Arial" w:hAnsi="Arial"/>
                <w:b w:val="0"/>
                <w:color w:val="1F2937"/>
                <w:sz w:val="17"/>
              </w:rPr>
              <w:t>Hj</w:t>
            </w:r>
          </w:p>
        </w:tc>
        <w:tc>
          <w:tcPr>
            <w:tcW w:type="dxa" w:w="7937"/>
            <w:vAlign w:val="center"/>
            <w:tcMar>
              <w:top w:w="100" w:type="dxa"/>
              <w:start w:w="110" w:type="dxa"/>
              <w:bottom w:w="100" w:type="dxa"/>
              <w:end w:w="110" w:type="dxa"/>
            </w:tcMar>
          </w:tcPr>
          <w:p>
            <w:pPr>
              <w:jc w:val="left"/>
            </w:pPr>
            <w:r/>
            <w:r>
              <w:rPr>
                <w:rFonts w:ascii="Arial" w:hAnsi="Arial"/>
                <w:b w:val="0"/>
                <w:color w:val="1F2937"/>
                <w:sz w:val="17"/>
              </w:rPr>
              <w:t>netto woonlasten en normale energielasten van woning j</w:t>
            </w:r>
          </w:p>
        </w:tc>
      </w:tr>
      <w:tr>
        <w:trPr>
          <w:cantSplit/>
        </w:trPr>
        <w:tc>
          <w:tcPr>
            <w:tcW w:type="dxa" w:w="1531"/>
            <w:vAlign w:val="center"/>
            <w:tcMar>
              <w:top w:w="100" w:type="dxa"/>
              <w:start w:w="110" w:type="dxa"/>
              <w:bottom w:w="100" w:type="dxa"/>
              <w:end w:w="110" w:type="dxa"/>
            </w:tcMar>
            <w:shd w:fill="F3F5F7"/>
          </w:tcPr>
          <w:p>
            <w:pPr>
              <w:jc w:val="left"/>
            </w:pPr>
            <w:r/>
            <w:r>
              <w:rPr>
                <w:rFonts w:ascii="Arial" w:hAnsi="Arial"/>
                <w:b w:val="0"/>
                <w:color w:val="1F2937"/>
                <w:sz w:val="17"/>
              </w:rPr>
              <w:t>Nh</w:t>
            </w:r>
          </w:p>
        </w:tc>
        <w:tc>
          <w:tcPr>
            <w:tcW w:type="dxa" w:w="7937"/>
            <w:vAlign w:val="center"/>
            <w:tcMar>
              <w:top w:w="100" w:type="dxa"/>
              <w:start w:w="110" w:type="dxa"/>
              <w:bottom w:w="100" w:type="dxa"/>
              <w:end w:w="110" w:type="dxa"/>
            </w:tcMar>
            <w:shd w:fill="F3F5F7"/>
          </w:tcPr>
          <w:p>
            <w:pPr>
              <w:jc w:val="left"/>
            </w:pPr>
            <w:r/>
            <w:r>
              <w:rPr>
                <w:rFonts w:ascii="Arial" w:hAnsi="Arial"/>
                <w:b w:val="0"/>
                <w:color w:val="1F2937"/>
                <w:sz w:val="17"/>
              </w:rPr>
              <w:t>minimaal bedrag voor alle overige noodzakelijke uitgaven van huishouden h</w:t>
            </w:r>
          </w:p>
        </w:tc>
      </w:tr>
    </w:tbl>
    <w:p>
      <w:pPr>
        <w:spacing w:after="20"/>
      </w:pPr>
    </w:p>
    <w:p>
      <w:pPr>
        <w:pStyle w:val="Heading1"/>
      </w:pPr>
      <w:r>
        <w:t>Basisinkomen</w:t>
      </w:r>
    </w:p>
    <w:p>
      <w:pPr>
        <w:pStyle w:val="Heading2"/>
      </w:pPr>
      <w:r>
        <w:t>Bedrag per huishouden</w:t>
      </w:r>
    </w:p>
    <w:p>
      <w:r>
        <w:t>Het rekenblad bevat een maandbedrag b per volwassene en een eventueel bedrag c per kind. Wanneer alleen volwassenen ontvangen, is c gelijk aan nul. Het basisinkomen blijft individueel. De huishoudsamenstelling wordt gebruikt om te bepalen of de gezamenlijke middelen voldoende zijn.</w:t>
      </w:r>
    </w:p>
    <w:p>
      <w:pPr>
        <w:spacing w:before="100" w:after="140"/>
        <w:jc w:val="center"/>
      </w:pPr>
      <w:r>
        <w:drawing>
          <wp:inline xmlns:a="http://schemas.openxmlformats.org/drawingml/2006/main" xmlns:pic="http://schemas.openxmlformats.org/drawingml/2006/picture">
            <wp:extent cx="2743200" cy="246506"/>
            <wp:docPr id="4" name="Picture 4"/>
            <wp:cNvGraphicFramePr>
              <a:graphicFrameLocks noChangeAspect="1"/>
            </wp:cNvGraphicFramePr>
            <a:graphic>
              <a:graphicData uri="http://schemas.openxmlformats.org/drawingml/2006/picture">
                <pic:pic>
                  <pic:nvPicPr>
                    <pic:cNvPr id="0" name="ubi_household.png"/>
                    <pic:cNvPicPr/>
                  </pic:nvPicPr>
                  <pic:blipFill>
                    <a:blip r:embed="rId13"/>
                    <a:stretch>
                      <a:fillRect/>
                    </a:stretch>
                  </pic:blipFill>
                  <pic:spPr>
                    <a:xfrm>
                      <a:off x="0" y="0"/>
                      <a:ext cx="2743200" cy="246506"/>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531"/>
            <w:shd w:fill="17324D"/>
            <w:vAlign w:val="center"/>
            <w:tcMar>
              <w:top w:w="100" w:type="dxa"/>
              <w:start w:w="110" w:type="dxa"/>
              <w:bottom w:w="100" w:type="dxa"/>
              <w:end w:w="110" w:type="dxa"/>
            </w:tcMar>
          </w:tcPr>
          <w:p>
            <w:pPr>
              <w:jc w:val="left"/>
            </w:pPr>
            <w:r/>
            <w:r>
              <w:rPr>
                <w:rFonts w:ascii="Arial" w:hAnsi="Arial"/>
                <w:b/>
                <w:color w:val="FFFFFF"/>
                <w:sz w:val="17"/>
              </w:rPr>
              <w:t>Symbool</w:t>
            </w:r>
          </w:p>
        </w:tc>
        <w:tc>
          <w:tcPr>
            <w:tcW w:type="dxa" w:w="7937"/>
            <w:shd w:fill="17324D"/>
            <w:vAlign w:val="center"/>
            <w:tcMar>
              <w:top w:w="100" w:type="dxa"/>
              <w:start w:w="110" w:type="dxa"/>
              <w:bottom w:w="100" w:type="dxa"/>
              <w:end w:w="110" w:type="dxa"/>
            </w:tcMar>
          </w:tcPr>
          <w:p>
            <w:pPr>
              <w:jc w:val="left"/>
            </w:pPr>
            <w:r/>
            <w:r>
              <w:rPr>
                <w:rFonts w:ascii="Arial" w:hAnsi="Arial"/>
                <w:b/>
                <w:color w:val="FFFFFF"/>
                <w:sz w:val="17"/>
              </w:rPr>
              <w:t>Betekenis</w:t>
            </w:r>
          </w:p>
        </w:tc>
      </w:tr>
      <w:tr>
        <w:trPr>
          <w:cantSplit/>
        </w:trPr>
        <w:tc>
          <w:tcPr>
            <w:tcW w:type="dxa" w:w="1531"/>
            <w:vAlign w:val="center"/>
            <w:tcMar>
              <w:top w:w="100" w:type="dxa"/>
              <w:start w:w="110" w:type="dxa"/>
              <w:bottom w:w="100" w:type="dxa"/>
              <w:end w:w="110" w:type="dxa"/>
            </w:tcMar>
          </w:tcPr>
          <w:p>
            <w:pPr>
              <w:jc w:val="left"/>
            </w:pPr>
            <w:r/>
            <w:r>
              <w:rPr>
                <w:rFonts w:ascii="Arial" w:hAnsi="Arial"/>
                <w:b w:val="0"/>
                <w:color w:val="1F2937"/>
                <w:sz w:val="17"/>
              </w:rPr>
              <w:t>Uh</w:t>
            </w:r>
          </w:p>
        </w:tc>
        <w:tc>
          <w:tcPr>
            <w:tcW w:type="dxa" w:w="7937"/>
            <w:vAlign w:val="center"/>
            <w:tcMar>
              <w:top w:w="100" w:type="dxa"/>
              <w:start w:w="110" w:type="dxa"/>
              <w:bottom w:w="100" w:type="dxa"/>
              <w:end w:w="110" w:type="dxa"/>
            </w:tcMar>
          </w:tcPr>
          <w:p>
            <w:pPr>
              <w:jc w:val="left"/>
            </w:pPr>
            <w:r/>
            <w:r>
              <w:rPr>
                <w:rFonts w:ascii="Arial" w:hAnsi="Arial"/>
                <w:b w:val="0"/>
                <w:color w:val="1F2937"/>
                <w:sz w:val="17"/>
              </w:rPr>
              <w:t>basisinkomen per maand voor huishouden h</w:t>
            </w:r>
          </w:p>
        </w:tc>
      </w:tr>
      <w:tr>
        <w:trPr>
          <w:cantSplit/>
        </w:trPr>
        <w:tc>
          <w:tcPr>
            <w:tcW w:type="dxa" w:w="1531"/>
            <w:vAlign w:val="center"/>
            <w:tcMar>
              <w:top w:w="100" w:type="dxa"/>
              <w:start w:w="110" w:type="dxa"/>
              <w:bottom w:w="100" w:type="dxa"/>
              <w:end w:w="110" w:type="dxa"/>
            </w:tcMar>
            <w:shd w:fill="F3F5F7"/>
          </w:tcPr>
          <w:p>
            <w:pPr>
              <w:jc w:val="left"/>
            </w:pPr>
            <w:r/>
            <w:r>
              <w:rPr>
                <w:rFonts w:ascii="Arial" w:hAnsi="Arial"/>
                <w:b w:val="0"/>
                <w:color w:val="1F2937"/>
                <w:sz w:val="17"/>
              </w:rPr>
              <w:t>ah</w:t>
            </w:r>
          </w:p>
        </w:tc>
        <w:tc>
          <w:tcPr>
            <w:tcW w:type="dxa" w:w="7937"/>
            <w:vAlign w:val="center"/>
            <w:tcMar>
              <w:top w:w="100" w:type="dxa"/>
              <w:start w:w="110" w:type="dxa"/>
              <w:bottom w:w="100" w:type="dxa"/>
              <w:end w:w="110" w:type="dxa"/>
            </w:tcMar>
            <w:shd w:fill="F3F5F7"/>
          </w:tcPr>
          <w:p>
            <w:pPr>
              <w:jc w:val="left"/>
            </w:pPr>
            <w:r/>
            <w:r>
              <w:rPr>
                <w:rFonts w:ascii="Arial" w:hAnsi="Arial"/>
                <w:b w:val="0"/>
                <w:color w:val="1F2937"/>
                <w:sz w:val="17"/>
              </w:rPr>
              <w:t>aantal volwassen ontvangers in huishouden h</w:t>
            </w:r>
          </w:p>
        </w:tc>
      </w:tr>
      <w:tr>
        <w:trPr>
          <w:cantSplit/>
        </w:trPr>
        <w:tc>
          <w:tcPr>
            <w:tcW w:type="dxa" w:w="1531"/>
            <w:vAlign w:val="center"/>
            <w:tcMar>
              <w:top w:w="100" w:type="dxa"/>
              <w:start w:w="110" w:type="dxa"/>
              <w:bottom w:w="100" w:type="dxa"/>
              <w:end w:w="110" w:type="dxa"/>
            </w:tcMar>
          </w:tcPr>
          <w:p>
            <w:pPr>
              <w:jc w:val="left"/>
            </w:pPr>
            <w:r/>
            <w:r>
              <w:rPr>
                <w:rFonts w:ascii="Arial" w:hAnsi="Arial"/>
                <w:b w:val="0"/>
                <w:color w:val="1F2937"/>
                <w:sz w:val="17"/>
              </w:rPr>
              <w:t>kh</w:t>
            </w:r>
          </w:p>
        </w:tc>
        <w:tc>
          <w:tcPr>
            <w:tcW w:type="dxa" w:w="7937"/>
            <w:vAlign w:val="center"/>
            <w:tcMar>
              <w:top w:w="100" w:type="dxa"/>
              <w:start w:w="110" w:type="dxa"/>
              <w:bottom w:w="100" w:type="dxa"/>
              <w:end w:w="110" w:type="dxa"/>
            </w:tcMar>
          </w:tcPr>
          <w:p>
            <w:pPr>
              <w:jc w:val="left"/>
            </w:pPr>
            <w:r/>
            <w:r>
              <w:rPr>
                <w:rFonts w:ascii="Arial" w:hAnsi="Arial"/>
                <w:b w:val="0"/>
                <w:color w:val="1F2937"/>
                <w:sz w:val="17"/>
              </w:rPr>
              <w:t>aantal kinderen in huishouden h</w:t>
            </w:r>
          </w:p>
        </w:tc>
      </w:tr>
      <w:tr>
        <w:trPr>
          <w:cantSplit/>
        </w:trPr>
        <w:tc>
          <w:tcPr>
            <w:tcW w:type="dxa" w:w="1531"/>
            <w:vAlign w:val="center"/>
            <w:tcMar>
              <w:top w:w="100" w:type="dxa"/>
              <w:start w:w="110" w:type="dxa"/>
              <w:bottom w:w="100" w:type="dxa"/>
              <w:end w:w="110" w:type="dxa"/>
            </w:tcMar>
            <w:shd w:fill="F3F5F7"/>
          </w:tcPr>
          <w:p>
            <w:pPr>
              <w:jc w:val="left"/>
            </w:pPr>
            <w:r/>
            <w:r>
              <w:rPr>
                <w:rFonts w:ascii="Arial" w:hAnsi="Arial"/>
                <w:b w:val="0"/>
                <w:color w:val="1F2937"/>
                <w:sz w:val="17"/>
              </w:rPr>
              <w:t>b</w:t>
            </w:r>
          </w:p>
        </w:tc>
        <w:tc>
          <w:tcPr>
            <w:tcW w:type="dxa" w:w="7937"/>
            <w:vAlign w:val="center"/>
            <w:tcMar>
              <w:top w:w="100" w:type="dxa"/>
              <w:start w:w="110" w:type="dxa"/>
              <w:bottom w:w="100" w:type="dxa"/>
              <w:end w:w="110" w:type="dxa"/>
            </w:tcMar>
            <w:shd w:fill="F3F5F7"/>
          </w:tcPr>
          <w:p>
            <w:pPr>
              <w:jc w:val="left"/>
            </w:pPr>
            <w:r/>
            <w:r>
              <w:rPr>
                <w:rFonts w:ascii="Arial" w:hAnsi="Arial"/>
                <w:b w:val="0"/>
                <w:color w:val="1F2937"/>
                <w:sz w:val="17"/>
              </w:rPr>
              <w:t>basisinkomen per volwassene per maand</w:t>
            </w:r>
          </w:p>
        </w:tc>
      </w:tr>
      <w:tr>
        <w:trPr>
          <w:cantSplit/>
        </w:trPr>
        <w:tc>
          <w:tcPr>
            <w:tcW w:type="dxa" w:w="1531"/>
            <w:vAlign w:val="center"/>
            <w:tcMar>
              <w:top w:w="100" w:type="dxa"/>
              <w:start w:w="110" w:type="dxa"/>
              <w:bottom w:w="100" w:type="dxa"/>
              <w:end w:w="110" w:type="dxa"/>
            </w:tcMar>
          </w:tcPr>
          <w:p>
            <w:pPr>
              <w:jc w:val="left"/>
            </w:pPr>
            <w:r/>
            <w:r>
              <w:rPr>
                <w:rFonts w:ascii="Arial" w:hAnsi="Arial"/>
                <w:b w:val="0"/>
                <w:color w:val="1F2937"/>
                <w:sz w:val="17"/>
              </w:rPr>
              <w:t>c</w:t>
            </w:r>
          </w:p>
        </w:tc>
        <w:tc>
          <w:tcPr>
            <w:tcW w:type="dxa" w:w="7937"/>
            <w:vAlign w:val="center"/>
            <w:tcMar>
              <w:top w:w="100" w:type="dxa"/>
              <w:start w:w="110" w:type="dxa"/>
              <w:bottom w:w="100" w:type="dxa"/>
              <w:end w:w="110" w:type="dxa"/>
            </w:tcMar>
          </w:tcPr>
          <w:p>
            <w:pPr>
              <w:jc w:val="left"/>
            </w:pPr>
            <w:r/>
            <w:r>
              <w:rPr>
                <w:rFonts w:ascii="Arial" w:hAnsi="Arial"/>
                <w:b w:val="0"/>
                <w:color w:val="1F2937"/>
                <w:sz w:val="17"/>
              </w:rPr>
              <w:t>bedrag per kind per maand</w:t>
            </w:r>
          </w:p>
        </w:tc>
      </w:tr>
    </w:tbl>
    <w:p>
      <w:pPr>
        <w:spacing w:after="20"/>
      </w:pPr>
    </w:p>
    <w:p>
      <w:pPr>
        <w:pStyle w:val="Heading2"/>
      </w:pPr>
      <w:r>
        <w:t>Beleidsvariant</w:t>
      </w:r>
    </w:p>
    <w:p>
      <w:r>
        <w:t>Voor iedere berekening moet worden vastgelegd welke belastingen, uitkeringen en toeslagen blijven bestaan. Y bevat alle overige netto inkomsten na toepassing van die beleidsvariant. Een vervallen uitkering mag niet in Y blijven staan, omdat zij dan dubbel wordt geteld. Bijzondere ondersteuning voor hoge zorgkosten, beperkingen of uitzonderlijke woonlasten wordt niet zonder afzonderlijke motivering geschrapt.</w:t>
      </w:r>
    </w:p>
    <w:p>
      <w:pPr>
        <w:pStyle w:val="Heading2"/>
      </w:pPr>
      <w:r>
        <w:t>Bestaansruimte en tekort</w:t>
      </w:r>
    </w:p>
    <w:p>
      <w:r>
        <w:t>De bestaansruimte R is het bedrag dat resteert nadat de adequate woonlasten en het minimale overige budget zijn afgetrokken. Een negatieve uitkomst is het maandelijkse tekort.</w:t>
      </w:r>
    </w:p>
    <w:p>
      <w:pPr>
        <w:spacing w:before="100" w:after="140"/>
        <w:jc w:val="center"/>
      </w:pPr>
      <w:r>
        <w:drawing>
          <wp:inline xmlns:a="http://schemas.openxmlformats.org/drawingml/2006/main" xmlns:pic="http://schemas.openxmlformats.org/drawingml/2006/picture">
            <wp:extent cx="3566160" cy="320457"/>
            <wp:docPr id="5" name="Picture 5"/>
            <wp:cNvGraphicFramePr>
              <a:graphicFrameLocks noChangeAspect="1"/>
            </wp:cNvGraphicFramePr>
            <a:graphic>
              <a:graphicData uri="http://schemas.openxmlformats.org/drawingml/2006/picture">
                <pic:pic>
                  <pic:nvPicPr>
                    <pic:cNvPr id="0" name="residual.png"/>
                    <pic:cNvPicPr/>
                  </pic:nvPicPr>
                  <pic:blipFill>
                    <a:blip r:embed="rId14"/>
                    <a:stretch>
                      <a:fillRect/>
                    </a:stretch>
                  </pic:blipFill>
                  <pic:spPr>
                    <a:xfrm>
                      <a:off x="0" y="0"/>
                      <a:ext cx="3566160" cy="320457"/>
                    </a:xfrm>
                    <a:prstGeom prst="rect"/>
                  </pic:spPr>
                </pic:pic>
              </a:graphicData>
            </a:graphic>
          </wp:inline>
        </w:drawing>
      </w:r>
    </w:p>
    <w:p>
      <w:pPr>
        <w:spacing w:before="100" w:after="140"/>
        <w:jc w:val="center"/>
      </w:pPr>
      <w:r>
        <w:drawing>
          <wp:inline xmlns:a="http://schemas.openxmlformats.org/drawingml/2006/main" xmlns:pic="http://schemas.openxmlformats.org/drawingml/2006/picture">
            <wp:extent cx="2286000" cy="205421"/>
            <wp:docPr id="6" name="Picture 6"/>
            <wp:cNvGraphicFramePr>
              <a:graphicFrameLocks noChangeAspect="1"/>
            </wp:cNvGraphicFramePr>
            <a:graphic>
              <a:graphicData uri="http://schemas.openxmlformats.org/drawingml/2006/picture">
                <pic:pic>
                  <pic:nvPicPr>
                    <pic:cNvPr id="0" name="gap.png"/>
                    <pic:cNvPicPr/>
                  </pic:nvPicPr>
                  <pic:blipFill>
                    <a:blip r:embed="rId15"/>
                    <a:stretch>
                      <a:fillRect/>
                    </a:stretch>
                  </pic:blipFill>
                  <pic:spPr>
                    <a:xfrm>
                      <a:off x="0" y="0"/>
                      <a:ext cx="2286000" cy="205421"/>
                    </a:xfrm>
                    <a:prstGeom prst="rect"/>
                  </pic:spPr>
                </pic:pic>
              </a:graphicData>
            </a:graphic>
          </wp:inline>
        </w:drawing>
      </w:r>
    </w:p>
    <w:p>
      <w:pPr>
        <w:pStyle w:val="Heading2"/>
      </w:pPr>
      <w:r>
        <w:t>Inkomensdekking</w:t>
      </w:r>
    </w:p>
    <w:p>
      <w:r>
        <w:t>De basisinkomensdekking is het gewogen aandeel huishoudens met een niet negatieve bestaansruimte. De gewichten zorgen ervoor dat een ingevoerd voorbeeldhuishouden het juiste aantal huishoudens in de populatie vertegenwoordigt.</w:t>
      </w:r>
    </w:p>
    <w:p>
      <w:pPr>
        <w:spacing w:before="100" w:after="140"/>
        <w:jc w:val="center"/>
      </w:pPr>
      <w:r>
        <w:drawing>
          <wp:inline xmlns:a="http://schemas.openxmlformats.org/drawingml/2006/main" xmlns:pic="http://schemas.openxmlformats.org/drawingml/2006/picture">
            <wp:extent cx="4754880" cy="610069"/>
            <wp:docPr id="7" name="Picture 7"/>
            <wp:cNvGraphicFramePr>
              <a:graphicFrameLocks noChangeAspect="1"/>
            </wp:cNvGraphicFramePr>
            <a:graphic>
              <a:graphicData uri="http://schemas.openxmlformats.org/drawingml/2006/picture">
                <pic:pic>
                  <pic:nvPicPr>
                    <pic:cNvPr id="0" name="bi_coverage.png"/>
                    <pic:cNvPicPr/>
                  </pic:nvPicPr>
                  <pic:blipFill>
                    <a:blip r:embed="rId16"/>
                    <a:stretch>
                      <a:fillRect/>
                    </a:stretch>
                  </pic:blipFill>
                  <pic:spPr>
                    <a:xfrm>
                      <a:off x="0" y="0"/>
                      <a:ext cx="4754880" cy="610069"/>
                    </a:xfrm>
                    <a:prstGeom prst="rect"/>
                  </pic:spPr>
                </pic:pic>
              </a:graphicData>
            </a:graphic>
          </wp:inline>
        </w:drawing>
      </w:r>
    </w:p>
    <w:p>
      <w:r>
        <w:t>De dekking wordt aangevuld met het gemiddelde resterende tekort. Daarmee blijft zichtbaar of de huishoudens onder de grens een klein of juist groot tekort houden.</w:t>
      </w:r>
    </w:p>
    <w:p>
      <w:pPr>
        <w:spacing w:before="100" w:after="140"/>
        <w:jc w:val="center"/>
      </w:pPr>
      <w:r>
        <w:drawing>
          <wp:inline xmlns:a="http://schemas.openxmlformats.org/drawingml/2006/main" xmlns:pic="http://schemas.openxmlformats.org/drawingml/2006/picture">
            <wp:extent cx="3931920" cy="504480"/>
            <wp:docPr id="8" name="Picture 8"/>
            <wp:cNvGraphicFramePr>
              <a:graphicFrameLocks noChangeAspect="1"/>
            </wp:cNvGraphicFramePr>
            <a:graphic>
              <a:graphicData uri="http://schemas.openxmlformats.org/drawingml/2006/picture">
                <pic:pic>
                  <pic:nvPicPr>
                    <pic:cNvPr id="0" name="avg_gap.png"/>
                    <pic:cNvPicPr/>
                  </pic:nvPicPr>
                  <pic:blipFill>
                    <a:blip r:embed="rId17"/>
                    <a:stretch>
                      <a:fillRect/>
                    </a:stretch>
                  </pic:blipFill>
                  <pic:spPr>
                    <a:xfrm>
                      <a:off x="0" y="0"/>
                      <a:ext cx="3931920" cy="504480"/>
                    </a:xfrm>
                    <a:prstGeom prst="rect"/>
                  </pic:spPr>
                </pic:pic>
              </a:graphicData>
            </a:graphic>
          </wp:inline>
        </w:drawing>
      </w:r>
    </w:p>
    <w:p>
      <w:pPr>
        <w:pStyle w:val="Heading2"/>
      </w:pPr>
      <w:r>
        <w:t>Benodigd basisinkomensbedrag</w:t>
      </w:r>
    </w:p>
    <w:p>
      <w:r>
        <w:t>Versie 0.1 schrijft geen vast doelpercentage voor. De gebruiker vergelijkt meerdere bedragen en kiest een beoogde dekking p. Het benodigde bedrag is het laagste bedrag waarbij die dekking wordt bereikt. De keuze voor p is een politieke en democratische keuze.</w:t>
      </w:r>
    </w:p>
    <w:p>
      <w:pPr>
        <w:spacing w:before="100" w:after="140"/>
        <w:jc w:val="center"/>
      </w:pPr>
      <w:r>
        <w:drawing>
          <wp:inline xmlns:a="http://schemas.openxmlformats.org/drawingml/2006/main" xmlns:pic="http://schemas.openxmlformats.org/drawingml/2006/picture">
            <wp:extent cx="3383280" cy="304024"/>
            <wp:docPr id="9" name="Picture 9"/>
            <wp:cNvGraphicFramePr>
              <a:graphicFrameLocks noChangeAspect="1"/>
            </wp:cNvGraphicFramePr>
            <a:graphic>
              <a:graphicData uri="http://schemas.openxmlformats.org/drawingml/2006/picture">
                <pic:pic>
                  <pic:nvPicPr>
                    <pic:cNvPr id="0" name="target_amount.png"/>
                    <pic:cNvPicPr/>
                  </pic:nvPicPr>
                  <pic:blipFill>
                    <a:blip r:embed="rId18"/>
                    <a:stretch>
                      <a:fillRect/>
                    </a:stretch>
                  </pic:blipFill>
                  <pic:spPr>
                    <a:xfrm>
                      <a:off x="0" y="0"/>
                      <a:ext cx="3383280" cy="304024"/>
                    </a:xfrm>
                    <a:prstGeom prst="rect"/>
                  </pic:spPr>
                </pic:pic>
              </a:graphicData>
            </a:graphic>
          </wp:inline>
        </w:drawing>
      </w:r>
    </w:p>
    <w:p>
      <w:pPr>
        <w:pStyle w:val="Heading2"/>
      </w:pPr>
      <w:r>
        <w:t>Kosten van het basisinkomen</w:t>
      </w:r>
    </w:p>
    <w:p>
      <w:r>
        <w:t>De bruto jaarlijkse kasstroom wordt als volgt berekend.</w:t>
      </w:r>
    </w:p>
    <w:p>
      <w:pPr>
        <w:spacing w:before="100" w:after="140"/>
        <w:jc w:val="center"/>
      </w:pPr>
      <w:r>
        <w:drawing>
          <wp:inline xmlns:a="http://schemas.openxmlformats.org/drawingml/2006/main" xmlns:pic="http://schemas.openxmlformats.org/drawingml/2006/picture">
            <wp:extent cx="3474720" cy="312241"/>
            <wp:docPr id="10" name="Picture 10"/>
            <wp:cNvGraphicFramePr>
              <a:graphicFrameLocks noChangeAspect="1"/>
            </wp:cNvGraphicFramePr>
            <a:graphic>
              <a:graphicData uri="http://schemas.openxmlformats.org/drawingml/2006/picture">
                <pic:pic>
                  <pic:nvPicPr>
                    <pic:cNvPr id="0" name="gross_cost.png"/>
                    <pic:cNvPicPr/>
                  </pic:nvPicPr>
                  <pic:blipFill>
                    <a:blip r:embed="rId19"/>
                    <a:stretch>
                      <a:fillRect/>
                    </a:stretch>
                  </pic:blipFill>
                  <pic:spPr>
                    <a:xfrm>
                      <a:off x="0" y="0"/>
                      <a:ext cx="3474720" cy="312241"/>
                    </a:xfrm>
                    <a:prstGeom prst="rect"/>
                  </pic:spPr>
                </pic:pic>
              </a:graphicData>
            </a:graphic>
          </wp:inline>
        </w:drawing>
      </w:r>
    </w:p>
    <w:p>
      <w:r>
        <w:t>De netto beleidskosten hangen af van de gekozen belastingvariant, de regelingen die werkelijk vervallen en de uitvoeringskosten. Deze posten worden afzonderlijk ingevuld en blijven daardoor controleerbaar.</w:t>
      </w:r>
    </w:p>
    <w:p>
      <w:pPr>
        <w:spacing w:before="100" w:after="140"/>
        <w:jc w:val="center"/>
      </w:pPr>
      <w:r>
        <w:drawing>
          <wp:inline xmlns:a="http://schemas.openxmlformats.org/drawingml/2006/main" xmlns:pic="http://schemas.openxmlformats.org/drawingml/2006/picture">
            <wp:extent cx="5760720" cy="512490"/>
            <wp:docPr id="11" name="Picture 11"/>
            <wp:cNvGraphicFramePr>
              <a:graphicFrameLocks noChangeAspect="1"/>
            </wp:cNvGraphicFramePr>
            <a:graphic>
              <a:graphicData uri="http://schemas.openxmlformats.org/drawingml/2006/picture">
                <pic:pic>
                  <pic:nvPicPr>
                    <pic:cNvPr id="0" name="net_cost.png"/>
                    <pic:cNvPicPr/>
                  </pic:nvPicPr>
                  <pic:blipFill>
                    <a:blip r:embed="rId20"/>
                    <a:stretch>
                      <a:fillRect/>
                    </a:stretch>
                  </pic:blipFill>
                  <pic:spPr>
                    <a:xfrm>
                      <a:off x="0" y="0"/>
                      <a:ext cx="5760720" cy="512490"/>
                    </a:xfrm>
                    <a:prstGeom prst="rect"/>
                  </pic:spPr>
                </pic:pic>
              </a:graphicData>
            </a:graphic>
          </wp:inline>
        </w:drawing>
      </w:r>
    </w:p>
    <w:p>
      <w:pPr>
        <w:pStyle w:val="Heading1"/>
      </w:pPr>
      <w:r>
        <w:t>Gezamenlijke bestaansbasis</w:t>
      </w:r>
    </w:p>
    <w:p>
      <w:r>
        <w:t>Wonen en inkomen worden ook gezamenlijk gerapporteerd. Een huishouden telt in deze aanvullende maat alleen mee wanneer het beschikt over een adequate woning en voldoende bestaansruimte heeft.</w:t>
      </w:r>
    </w:p>
    <w:p>
      <w:pPr>
        <w:spacing w:before="100" w:after="140"/>
        <w:jc w:val="center"/>
      </w:pPr>
      <w:r>
        <w:drawing>
          <wp:inline xmlns:a="http://schemas.openxmlformats.org/drawingml/2006/main" xmlns:pic="http://schemas.openxmlformats.org/drawingml/2006/picture">
            <wp:extent cx="5303520" cy="680461"/>
            <wp:docPr id="12" name="Picture 12"/>
            <wp:cNvGraphicFramePr>
              <a:graphicFrameLocks noChangeAspect="1"/>
            </wp:cNvGraphicFramePr>
            <a:graphic>
              <a:graphicData uri="http://schemas.openxmlformats.org/drawingml/2006/picture">
                <pic:pic>
                  <pic:nvPicPr>
                    <pic:cNvPr id="0" name="joint.png"/>
                    <pic:cNvPicPr/>
                  </pic:nvPicPr>
                  <pic:blipFill>
                    <a:blip r:embed="rId21"/>
                    <a:stretch>
                      <a:fillRect/>
                    </a:stretch>
                  </pic:blipFill>
                  <pic:spPr>
                    <a:xfrm>
                      <a:off x="0" y="0"/>
                      <a:ext cx="5303520" cy="680461"/>
                    </a:xfrm>
                    <a:prstGeom prst="rect"/>
                  </pic:spPr>
                </pic:pic>
              </a:graphicData>
            </a:graphic>
          </wp:inline>
        </w:drawing>
      </w:r>
    </w:p>
    <w:p>
      <w:r>
        <w:t>Deze maat laat het wederzijdse effect zien. Lagere adequate woonlasten verminderen het benodigde basisinkomen. Een hoger basisinkomen kan meer bestaande woningen betaalbaar maken. Het rekenblad moet beide effecten zichtbaar houden en mag ze niet stilzwijgend samenvoegen tot één beleidsclaim.</w:t>
      </w:r>
    </w:p>
    <w:p>
      <w:pPr>
        <w:pStyle w:val="Heading1"/>
      </w:pPr>
      <w:r>
        <w:t>Gegevens die moeten worden verzameld</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701"/>
            <w:shd w:fill="17324D"/>
            <w:vAlign w:val="center"/>
            <w:tcMar>
              <w:top w:w="100" w:type="dxa"/>
              <w:start w:w="110" w:type="dxa"/>
              <w:bottom w:w="100" w:type="dxa"/>
              <w:end w:w="110" w:type="dxa"/>
            </w:tcMar>
          </w:tcPr>
          <w:p>
            <w:pPr>
              <w:jc w:val="left"/>
            </w:pPr>
            <w:r/>
            <w:r>
              <w:rPr>
                <w:rFonts w:ascii="Arial" w:hAnsi="Arial"/>
                <w:b/>
                <w:color w:val="FFFFFF"/>
                <w:sz w:val="16"/>
              </w:rPr>
              <w:t>Gegeven</w:t>
            </w:r>
          </w:p>
        </w:tc>
        <w:tc>
          <w:tcPr>
            <w:tcW w:type="dxa" w:w="4479"/>
            <w:shd w:fill="17324D"/>
            <w:vAlign w:val="center"/>
            <w:tcMar>
              <w:top w:w="100" w:type="dxa"/>
              <w:start w:w="110" w:type="dxa"/>
              <w:bottom w:w="100" w:type="dxa"/>
              <w:end w:w="110" w:type="dxa"/>
            </w:tcMar>
          </w:tcPr>
          <w:p>
            <w:pPr>
              <w:jc w:val="left"/>
            </w:pPr>
            <w:r/>
            <w:r>
              <w:rPr>
                <w:rFonts w:ascii="Arial" w:hAnsi="Arial"/>
                <w:b/>
                <w:color w:val="FFFFFF"/>
                <w:sz w:val="16"/>
              </w:rPr>
              <w:t>Minimale inhoud</w:t>
            </w:r>
          </w:p>
        </w:tc>
        <w:tc>
          <w:tcPr>
            <w:tcW w:type="dxa" w:w="3288"/>
            <w:shd w:fill="17324D"/>
            <w:vAlign w:val="center"/>
            <w:tcMar>
              <w:top w:w="100" w:type="dxa"/>
              <w:start w:w="110" w:type="dxa"/>
              <w:bottom w:w="100" w:type="dxa"/>
              <w:end w:w="110" w:type="dxa"/>
            </w:tcMar>
          </w:tcPr>
          <w:p>
            <w:pPr>
              <w:jc w:val="left"/>
            </w:pPr>
            <w:r/>
            <w:r>
              <w:rPr>
                <w:rFonts w:ascii="Arial" w:hAnsi="Arial"/>
                <w:b/>
                <w:color w:val="FFFFFF"/>
                <w:sz w:val="16"/>
              </w:rPr>
              <w:t>Mogelijke bron</w:t>
            </w:r>
          </w:p>
        </w:tc>
      </w:tr>
      <w:tr>
        <w:trPr>
          <w:cantSplit/>
        </w:trPr>
        <w:tc>
          <w:tcPr>
            <w:tcW w:type="dxa" w:w="1701"/>
            <w:vAlign w:val="center"/>
            <w:tcMar>
              <w:top w:w="100" w:type="dxa"/>
              <w:start w:w="110" w:type="dxa"/>
              <w:bottom w:w="100" w:type="dxa"/>
              <w:end w:w="110" w:type="dxa"/>
            </w:tcMar>
          </w:tcPr>
          <w:p>
            <w:pPr>
              <w:jc w:val="left"/>
            </w:pPr>
            <w:r/>
            <w:r>
              <w:rPr>
                <w:rFonts w:ascii="Arial" w:hAnsi="Arial"/>
                <w:b w:val="0"/>
                <w:color w:val="1F2937"/>
                <w:sz w:val="16"/>
              </w:rPr>
              <w:t>Huishoudens</w:t>
            </w:r>
          </w:p>
        </w:tc>
        <w:tc>
          <w:tcPr>
            <w:tcW w:type="dxa" w:w="4479"/>
            <w:vAlign w:val="center"/>
            <w:tcMar>
              <w:top w:w="100" w:type="dxa"/>
              <w:start w:w="110" w:type="dxa"/>
              <w:bottom w:w="100" w:type="dxa"/>
              <w:end w:w="110" w:type="dxa"/>
            </w:tcMar>
          </w:tcPr>
          <w:p>
            <w:pPr>
              <w:jc w:val="left"/>
            </w:pPr>
            <w:r/>
            <w:r>
              <w:rPr>
                <w:rFonts w:ascii="Arial" w:hAnsi="Arial"/>
                <w:b w:val="0"/>
                <w:color w:val="1F2937"/>
                <w:sz w:val="16"/>
              </w:rPr>
              <w:t>aantal, regio, samenstelling, inkomen, leeftijd en toegankelijkheidsbehoefte</w:t>
            </w:r>
          </w:p>
        </w:tc>
        <w:tc>
          <w:tcPr>
            <w:tcW w:type="dxa" w:w="3288"/>
            <w:vAlign w:val="center"/>
            <w:tcMar>
              <w:top w:w="100" w:type="dxa"/>
              <w:start w:w="110" w:type="dxa"/>
              <w:bottom w:w="100" w:type="dxa"/>
              <w:end w:w="110" w:type="dxa"/>
            </w:tcMar>
          </w:tcPr>
          <w:p>
            <w:pPr>
              <w:jc w:val="left"/>
            </w:pPr>
            <w:r/>
            <w:r>
              <w:rPr>
                <w:rFonts w:ascii="Arial" w:hAnsi="Arial"/>
                <w:b w:val="0"/>
                <w:color w:val="1F2937"/>
                <w:sz w:val="16"/>
              </w:rPr>
              <w:t>CBS, WoON, gemeentelijke registraties of representatief onderzoek</w:t>
            </w:r>
          </w:p>
        </w:tc>
      </w:tr>
      <w:tr>
        <w:trPr>
          <w:cantSplit/>
        </w:trPr>
        <w:tc>
          <w:tcPr>
            <w:tcW w:type="dxa" w:w="1701"/>
            <w:vAlign w:val="center"/>
            <w:tcMar>
              <w:top w:w="100" w:type="dxa"/>
              <w:start w:w="110" w:type="dxa"/>
              <w:bottom w:w="100" w:type="dxa"/>
              <w:end w:w="110" w:type="dxa"/>
            </w:tcMar>
            <w:shd w:fill="F3F5F7"/>
          </w:tcPr>
          <w:p>
            <w:pPr>
              <w:jc w:val="left"/>
            </w:pPr>
            <w:r/>
            <w:r>
              <w:rPr>
                <w:rFonts w:ascii="Arial" w:hAnsi="Arial"/>
                <w:b w:val="0"/>
                <w:color w:val="1F2937"/>
                <w:sz w:val="16"/>
              </w:rPr>
              <w:t>Woningbehoefte</w:t>
            </w:r>
          </w:p>
        </w:tc>
        <w:tc>
          <w:tcPr>
            <w:tcW w:type="dxa" w:w="4479"/>
            <w:vAlign w:val="center"/>
            <w:tcMar>
              <w:top w:w="100" w:type="dxa"/>
              <w:start w:w="110" w:type="dxa"/>
              <w:bottom w:w="100" w:type="dxa"/>
              <w:end w:w="110" w:type="dxa"/>
            </w:tcMar>
            <w:shd w:fill="F3F5F7"/>
          </w:tcPr>
          <w:p>
            <w:pPr>
              <w:jc w:val="left"/>
            </w:pPr>
            <w:r/>
            <w:r>
              <w:rPr>
                <w:rFonts w:ascii="Arial" w:hAnsi="Arial"/>
                <w:b w:val="0"/>
                <w:color w:val="1F2937"/>
                <w:sz w:val="16"/>
              </w:rPr>
              <w:t>huishoudens zonder passende woning en huishoudens met aantoonbare verhuisnoodzaak</w:t>
            </w:r>
          </w:p>
        </w:tc>
        <w:tc>
          <w:tcPr>
            <w:tcW w:type="dxa" w:w="3288"/>
            <w:vAlign w:val="center"/>
            <w:tcMar>
              <w:top w:w="100" w:type="dxa"/>
              <w:start w:w="110" w:type="dxa"/>
              <w:bottom w:w="100" w:type="dxa"/>
              <w:end w:w="110" w:type="dxa"/>
            </w:tcMar>
            <w:shd w:fill="F3F5F7"/>
          </w:tcPr>
          <w:p>
            <w:pPr>
              <w:jc w:val="left"/>
            </w:pPr>
            <w:r/>
            <w:r>
              <w:rPr>
                <w:rFonts w:ascii="Arial" w:hAnsi="Arial"/>
                <w:b w:val="0"/>
                <w:color w:val="1F2937"/>
                <w:sz w:val="16"/>
              </w:rPr>
              <w:t>WoON, wachtlijsten, urgentie en lokale woningmarktanalyse</w:t>
            </w:r>
          </w:p>
        </w:tc>
      </w:tr>
      <w:tr>
        <w:trPr>
          <w:cantSplit/>
        </w:trPr>
        <w:tc>
          <w:tcPr>
            <w:tcW w:type="dxa" w:w="1701"/>
            <w:vAlign w:val="center"/>
            <w:tcMar>
              <w:top w:w="100" w:type="dxa"/>
              <w:start w:w="110" w:type="dxa"/>
              <w:bottom w:w="100" w:type="dxa"/>
              <w:end w:w="110" w:type="dxa"/>
            </w:tcMar>
          </w:tcPr>
          <w:p>
            <w:pPr>
              <w:jc w:val="left"/>
            </w:pPr>
            <w:r/>
            <w:r>
              <w:rPr>
                <w:rFonts w:ascii="Arial" w:hAnsi="Arial"/>
                <w:b w:val="0"/>
                <w:color w:val="1F2937"/>
                <w:sz w:val="16"/>
              </w:rPr>
              <w:t>Woningvoorraad</w:t>
            </w:r>
          </w:p>
        </w:tc>
        <w:tc>
          <w:tcPr>
            <w:tcW w:type="dxa" w:w="4479"/>
            <w:vAlign w:val="center"/>
            <w:tcMar>
              <w:top w:w="100" w:type="dxa"/>
              <w:start w:w="110" w:type="dxa"/>
              <w:bottom w:w="100" w:type="dxa"/>
              <w:end w:w="110" w:type="dxa"/>
            </w:tcMar>
          </w:tcPr>
          <w:p>
            <w:pPr>
              <w:jc w:val="left"/>
            </w:pPr>
            <w:r/>
            <w:r>
              <w:rPr>
                <w:rFonts w:ascii="Arial" w:hAnsi="Arial"/>
                <w:b w:val="0"/>
                <w:color w:val="1F2937"/>
                <w:sz w:val="16"/>
              </w:rPr>
              <w:t>adresobject, gebruiksdoel, oppervlakte, kamers, beschikbaarheidsstatus en eigendom of huur</w:t>
            </w:r>
          </w:p>
        </w:tc>
        <w:tc>
          <w:tcPr>
            <w:tcW w:type="dxa" w:w="3288"/>
            <w:vAlign w:val="center"/>
            <w:tcMar>
              <w:top w:w="100" w:type="dxa"/>
              <w:start w:w="110" w:type="dxa"/>
              <w:bottom w:w="100" w:type="dxa"/>
              <w:end w:w="110" w:type="dxa"/>
            </w:tcMar>
          </w:tcPr>
          <w:p>
            <w:pPr>
              <w:jc w:val="left"/>
            </w:pPr>
            <w:r/>
            <w:r>
              <w:rPr>
                <w:rFonts w:ascii="Arial" w:hAnsi="Arial"/>
                <w:b w:val="0"/>
                <w:color w:val="1F2937"/>
                <w:sz w:val="16"/>
              </w:rPr>
              <w:t>BAG, corporaties, gemeenten en aanbieders</w:t>
            </w:r>
          </w:p>
        </w:tc>
      </w:tr>
      <w:tr>
        <w:trPr>
          <w:cantSplit/>
        </w:trPr>
        <w:tc>
          <w:tcPr>
            <w:tcW w:type="dxa" w:w="1701"/>
            <w:vAlign w:val="center"/>
            <w:tcMar>
              <w:top w:w="100" w:type="dxa"/>
              <w:start w:w="110" w:type="dxa"/>
              <w:bottom w:w="100" w:type="dxa"/>
              <w:end w:w="110" w:type="dxa"/>
            </w:tcMar>
            <w:shd w:fill="F3F5F7"/>
          </w:tcPr>
          <w:p>
            <w:pPr>
              <w:jc w:val="left"/>
            </w:pPr>
            <w:r/>
            <w:r>
              <w:rPr>
                <w:rFonts w:ascii="Arial" w:hAnsi="Arial"/>
                <w:b w:val="0"/>
                <w:color w:val="1F2937"/>
                <w:sz w:val="16"/>
              </w:rPr>
              <w:t>Woonlasten</w:t>
            </w:r>
          </w:p>
        </w:tc>
        <w:tc>
          <w:tcPr>
            <w:tcW w:type="dxa" w:w="4479"/>
            <w:vAlign w:val="center"/>
            <w:tcMar>
              <w:top w:w="100" w:type="dxa"/>
              <w:start w:w="110" w:type="dxa"/>
              <w:bottom w:w="100" w:type="dxa"/>
              <w:end w:w="110" w:type="dxa"/>
            </w:tcMar>
            <w:shd w:fill="F3F5F7"/>
          </w:tcPr>
          <w:p>
            <w:pPr>
              <w:jc w:val="left"/>
            </w:pPr>
            <w:r/>
            <w:r>
              <w:rPr>
                <w:rFonts w:ascii="Arial" w:hAnsi="Arial"/>
                <w:b w:val="0"/>
                <w:color w:val="1F2937"/>
                <w:sz w:val="16"/>
              </w:rPr>
              <w:t>netto huur of financieringslast, servicekosten, lokale lasten en normale energielasten</w:t>
            </w:r>
          </w:p>
        </w:tc>
        <w:tc>
          <w:tcPr>
            <w:tcW w:type="dxa" w:w="3288"/>
            <w:vAlign w:val="center"/>
            <w:tcMar>
              <w:top w:w="100" w:type="dxa"/>
              <w:start w:w="110" w:type="dxa"/>
              <w:bottom w:w="100" w:type="dxa"/>
              <w:end w:w="110" w:type="dxa"/>
            </w:tcMar>
            <w:shd w:fill="F3F5F7"/>
          </w:tcPr>
          <w:p>
            <w:pPr>
              <w:jc w:val="left"/>
            </w:pPr>
            <w:r/>
            <w:r>
              <w:rPr>
                <w:rFonts w:ascii="Arial" w:hAnsi="Arial"/>
                <w:b w:val="0"/>
                <w:color w:val="1F2937"/>
                <w:sz w:val="16"/>
              </w:rPr>
              <w:t>CBS Woonbase, verhuurders, hypotheekgegevens en huishoudenonderzoek</w:t>
            </w:r>
          </w:p>
        </w:tc>
      </w:tr>
      <w:tr>
        <w:trPr>
          <w:cantSplit/>
        </w:trPr>
        <w:tc>
          <w:tcPr>
            <w:tcW w:type="dxa" w:w="1701"/>
            <w:vAlign w:val="center"/>
            <w:tcMar>
              <w:top w:w="100" w:type="dxa"/>
              <w:start w:w="110" w:type="dxa"/>
              <w:bottom w:w="100" w:type="dxa"/>
              <w:end w:w="110" w:type="dxa"/>
            </w:tcMar>
          </w:tcPr>
          <w:p>
            <w:pPr>
              <w:jc w:val="left"/>
            </w:pPr>
            <w:r/>
            <w:r>
              <w:rPr>
                <w:rFonts w:ascii="Arial" w:hAnsi="Arial"/>
                <w:b w:val="0"/>
                <w:color w:val="1F2937"/>
                <w:sz w:val="16"/>
              </w:rPr>
              <w:t>Kwaliteit</w:t>
            </w:r>
          </w:p>
        </w:tc>
        <w:tc>
          <w:tcPr>
            <w:tcW w:type="dxa" w:w="4479"/>
            <w:vAlign w:val="center"/>
            <w:tcMar>
              <w:top w:w="100" w:type="dxa"/>
              <w:start w:w="110" w:type="dxa"/>
              <w:bottom w:w="100" w:type="dxa"/>
              <w:end w:w="110" w:type="dxa"/>
            </w:tcMar>
          </w:tcPr>
          <w:p>
            <w:pPr>
              <w:jc w:val="left"/>
            </w:pPr>
            <w:r/>
            <w:r>
              <w:rPr>
                <w:rFonts w:ascii="Arial" w:hAnsi="Arial"/>
                <w:b w:val="0"/>
                <w:color w:val="1F2937"/>
                <w:sz w:val="16"/>
              </w:rPr>
              <w:t>gezondheid, veiligheid, gebreken, bruikbaarheid, comfort en energieprestatie</w:t>
            </w:r>
          </w:p>
        </w:tc>
        <w:tc>
          <w:tcPr>
            <w:tcW w:type="dxa" w:w="3288"/>
            <w:vAlign w:val="center"/>
            <w:tcMar>
              <w:top w:w="100" w:type="dxa"/>
              <w:start w:w="110" w:type="dxa"/>
              <w:bottom w:w="100" w:type="dxa"/>
              <w:end w:w="110" w:type="dxa"/>
            </w:tcMar>
          </w:tcPr>
          <w:p>
            <w:pPr>
              <w:jc w:val="left"/>
            </w:pPr>
            <w:r/>
            <w:r>
              <w:rPr>
                <w:rFonts w:ascii="Arial" w:hAnsi="Arial"/>
                <w:b w:val="0"/>
                <w:color w:val="1F2937"/>
                <w:sz w:val="16"/>
              </w:rPr>
              <w:t>inspecties, onderhoudsdata, bewonerservaring en EP Online</w:t>
            </w:r>
          </w:p>
        </w:tc>
      </w:tr>
      <w:tr>
        <w:trPr>
          <w:cantSplit/>
        </w:trPr>
        <w:tc>
          <w:tcPr>
            <w:tcW w:type="dxa" w:w="1701"/>
            <w:vAlign w:val="center"/>
            <w:tcMar>
              <w:top w:w="100" w:type="dxa"/>
              <w:start w:w="110" w:type="dxa"/>
              <w:bottom w:w="100" w:type="dxa"/>
              <w:end w:w="110" w:type="dxa"/>
            </w:tcMar>
            <w:shd w:fill="F3F5F7"/>
          </w:tcPr>
          <w:p>
            <w:pPr>
              <w:jc w:val="left"/>
            </w:pPr>
            <w:r/>
            <w:r>
              <w:rPr>
                <w:rFonts w:ascii="Arial" w:hAnsi="Arial"/>
                <w:b w:val="0"/>
                <w:color w:val="1F2937"/>
                <w:sz w:val="16"/>
              </w:rPr>
              <w:t>Locatie</w:t>
            </w:r>
          </w:p>
        </w:tc>
        <w:tc>
          <w:tcPr>
            <w:tcW w:type="dxa" w:w="4479"/>
            <w:vAlign w:val="center"/>
            <w:tcMar>
              <w:top w:w="100" w:type="dxa"/>
              <w:start w:w="110" w:type="dxa"/>
              <w:bottom w:w="100" w:type="dxa"/>
              <w:end w:w="110" w:type="dxa"/>
            </w:tcMar>
            <w:shd w:fill="F3F5F7"/>
          </w:tcPr>
          <w:p>
            <w:pPr>
              <w:jc w:val="left"/>
            </w:pPr>
            <w:r/>
            <w:r>
              <w:rPr>
                <w:rFonts w:ascii="Arial" w:hAnsi="Arial"/>
                <w:b w:val="0"/>
                <w:color w:val="1F2937"/>
                <w:sz w:val="16"/>
              </w:rPr>
              <w:t>reistijd naar dagelijkse voorzieningen, werk, onderwijs, zorg en openbaar vervoer</w:t>
            </w:r>
          </w:p>
        </w:tc>
        <w:tc>
          <w:tcPr>
            <w:tcW w:type="dxa" w:w="3288"/>
            <w:vAlign w:val="center"/>
            <w:tcMar>
              <w:top w:w="100" w:type="dxa"/>
              <w:start w:w="110" w:type="dxa"/>
              <w:bottom w:w="100" w:type="dxa"/>
              <w:end w:w="110" w:type="dxa"/>
            </w:tcMar>
            <w:shd w:fill="F3F5F7"/>
          </w:tcPr>
          <w:p>
            <w:pPr>
              <w:jc w:val="left"/>
            </w:pPr>
            <w:r/>
            <w:r>
              <w:rPr>
                <w:rFonts w:ascii="Arial" w:hAnsi="Arial"/>
                <w:b w:val="0"/>
                <w:color w:val="1F2937"/>
                <w:sz w:val="16"/>
              </w:rPr>
              <w:t>geografische analyse en bereikbaarheidsdata</w:t>
            </w:r>
          </w:p>
        </w:tc>
      </w:tr>
      <w:tr>
        <w:trPr>
          <w:cantSplit/>
        </w:trPr>
        <w:tc>
          <w:tcPr>
            <w:tcW w:type="dxa" w:w="1701"/>
            <w:vAlign w:val="center"/>
            <w:tcMar>
              <w:top w:w="100" w:type="dxa"/>
              <w:start w:w="110" w:type="dxa"/>
              <w:bottom w:w="100" w:type="dxa"/>
              <w:end w:w="110" w:type="dxa"/>
            </w:tcMar>
          </w:tcPr>
          <w:p>
            <w:pPr>
              <w:jc w:val="left"/>
            </w:pPr>
            <w:r/>
            <w:r>
              <w:rPr>
                <w:rFonts w:ascii="Arial" w:hAnsi="Arial"/>
                <w:b w:val="0"/>
                <w:color w:val="1F2937"/>
                <w:sz w:val="16"/>
              </w:rPr>
              <w:t>Minimumuitgaven</w:t>
            </w:r>
          </w:p>
        </w:tc>
        <w:tc>
          <w:tcPr>
            <w:tcW w:type="dxa" w:w="4479"/>
            <w:vAlign w:val="center"/>
            <w:tcMar>
              <w:top w:w="100" w:type="dxa"/>
              <w:start w:w="110" w:type="dxa"/>
              <w:bottom w:w="100" w:type="dxa"/>
              <w:end w:w="110" w:type="dxa"/>
            </w:tcMar>
          </w:tcPr>
          <w:p>
            <w:pPr>
              <w:jc w:val="left"/>
            </w:pPr>
            <w:r/>
            <w:r>
              <w:rPr>
                <w:rFonts w:ascii="Arial" w:hAnsi="Arial"/>
                <w:b w:val="0"/>
                <w:color w:val="1F2937"/>
                <w:sz w:val="16"/>
              </w:rPr>
              <w:t>minimumvoorbeeldbegroting per huishoudenstype en prijspeil</w:t>
            </w:r>
          </w:p>
        </w:tc>
        <w:tc>
          <w:tcPr>
            <w:tcW w:type="dxa" w:w="3288"/>
            <w:vAlign w:val="center"/>
            <w:tcMar>
              <w:top w:w="100" w:type="dxa"/>
              <w:start w:w="110" w:type="dxa"/>
              <w:bottom w:w="100" w:type="dxa"/>
              <w:end w:w="110" w:type="dxa"/>
            </w:tcMar>
          </w:tcPr>
          <w:p>
            <w:pPr>
              <w:jc w:val="left"/>
            </w:pPr>
            <w:r/>
            <w:r>
              <w:rPr>
                <w:rFonts w:ascii="Arial" w:hAnsi="Arial"/>
                <w:b w:val="0"/>
                <w:color w:val="1F2937"/>
                <w:sz w:val="16"/>
              </w:rPr>
              <w:t>Nibud en CBS SCP Nibud armoedemethode</w:t>
            </w:r>
          </w:p>
        </w:tc>
      </w:tr>
      <w:tr>
        <w:trPr>
          <w:cantSplit/>
        </w:trPr>
        <w:tc>
          <w:tcPr>
            <w:tcW w:type="dxa" w:w="1701"/>
            <w:vAlign w:val="center"/>
            <w:tcMar>
              <w:top w:w="100" w:type="dxa"/>
              <w:start w:w="110" w:type="dxa"/>
              <w:bottom w:w="100" w:type="dxa"/>
              <w:end w:w="110" w:type="dxa"/>
            </w:tcMar>
            <w:shd w:fill="F3F5F7"/>
          </w:tcPr>
          <w:p>
            <w:pPr>
              <w:jc w:val="left"/>
            </w:pPr>
            <w:r/>
            <w:r>
              <w:rPr>
                <w:rFonts w:ascii="Arial" w:hAnsi="Arial"/>
                <w:b w:val="0"/>
                <w:color w:val="1F2937"/>
                <w:sz w:val="16"/>
              </w:rPr>
              <w:t>Inkomen</w:t>
            </w:r>
          </w:p>
        </w:tc>
        <w:tc>
          <w:tcPr>
            <w:tcW w:type="dxa" w:w="4479"/>
            <w:vAlign w:val="center"/>
            <w:tcMar>
              <w:top w:w="100" w:type="dxa"/>
              <w:start w:w="110" w:type="dxa"/>
              <w:bottom w:w="100" w:type="dxa"/>
              <w:end w:w="110" w:type="dxa"/>
            </w:tcMar>
            <w:shd w:fill="F3F5F7"/>
          </w:tcPr>
          <w:p>
            <w:pPr>
              <w:jc w:val="left"/>
            </w:pPr>
            <w:r/>
            <w:r>
              <w:rPr>
                <w:rFonts w:ascii="Arial" w:hAnsi="Arial"/>
                <w:b w:val="0"/>
                <w:color w:val="1F2937"/>
                <w:sz w:val="16"/>
              </w:rPr>
              <w:t>besteedbaar inkomen na belastingen en blijvende overdrachten</w:t>
            </w:r>
          </w:p>
        </w:tc>
        <w:tc>
          <w:tcPr>
            <w:tcW w:type="dxa" w:w="3288"/>
            <w:vAlign w:val="center"/>
            <w:tcMar>
              <w:top w:w="100" w:type="dxa"/>
              <w:start w:w="110" w:type="dxa"/>
              <w:bottom w:w="100" w:type="dxa"/>
              <w:end w:w="110" w:type="dxa"/>
            </w:tcMar>
            <w:shd w:fill="F3F5F7"/>
          </w:tcPr>
          <w:p>
            <w:pPr>
              <w:jc w:val="left"/>
            </w:pPr>
            <w:r/>
            <w:r>
              <w:rPr>
                <w:rFonts w:ascii="Arial" w:hAnsi="Arial"/>
                <w:b w:val="0"/>
                <w:color w:val="1F2937"/>
                <w:sz w:val="16"/>
              </w:rPr>
              <w:t>CBS inkomensdata of onderbouwde modelsimulatie</w:t>
            </w:r>
          </w:p>
        </w:tc>
      </w:tr>
      <w:tr>
        <w:trPr>
          <w:cantSplit/>
        </w:trPr>
        <w:tc>
          <w:tcPr>
            <w:tcW w:type="dxa" w:w="1701"/>
            <w:vAlign w:val="center"/>
            <w:tcMar>
              <w:top w:w="100" w:type="dxa"/>
              <w:start w:w="110" w:type="dxa"/>
              <w:bottom w:w="100" w:type="dxa"/>
              <w:end w:w="110" w:type="dxa"/>
            </w:tcMar>
          </w:tcPr>
          <w:p>
            <w:pPr>
              <w:jc w:val="left"/>
            </w:pPr>
            <w:r/>
            <w:r>
              <w:rPr>
                <w:rFonts w:ascii="Arial" w:hAnsi="Arial"/>
                <w:b w:val="0"/>
                <w:color w:val="1F2937"/>
                <w:sz w:val="16"/>
              </w:rPr>
              <w:t>Beleidskosten</w:t>
            </w:r>
          </w:p>
        </w:tc>
        <w:tc>
          <w:tcPr>
            <w:tcW w:type="dxa" w:w="4479"/>
            <w:vAlign w:val="center"/>
            <w:tcMar>
              <w:top w:w="100" w:type="dxa"/>
              <w:start w:w="110" w:type="dxa"/>
              <w:bottom w:w="100" w:type="dxa"/>
              <w:end w:w="110" w:type="dxa"/>
            </w:tcMar>
          </w:tcPr>
          <w:p>
            <w:pPr>
              <w:jc w:val="left"/>
            </w:pPr>
            <w:r/>
            <w:r>
              <w:rPr>
                <w:rFonts w:ascii="Arial" w:hAnsi="Arial"/>
                <w:b w:val="0"/>
                <w:color w:val="1F2937"/>
                <w:sz w:val="16"/>
              </w:rPr>
              <w:t>aantallen ontvangers, uitvoering, extra belastingopbrengst en besparing op vervallen regelingen</w:t>
            </w:r>
          </w:p>
        </w:tc>
        <w:tc>
          <w:tcPr>
            <w:tcW w:type="dxa" w:w="3288"/>
            <w:vAlign w:val="center"/>
            <w:tcMar>
              <w:top w:w="100" w:type="dxa"/>
              <w:start w:w="110" w:type="dxa"/>
              <w:bottom w:w="100" w:type="dxa"/>
              <w:end w:w="110" w:type="dxa"/>
            </w:tcMar>
          </w:tcPr>
          <w:p>
            <w:pPr>
              <w:jc w:val="left"/>
            </w:pPr>
            <w:r/>
            <w:r>
              <w:rPr>
                <w:rFonts w:ascii="Arial" w:hAnsi="Arial"/>
                <w:b w:val="0"/>
                <w:color w:val="1F2937"/>
                <w:sz w:val="16"/>
              </w:rPr>
              <w:t>Rijksoverheid, uitvoeringsorganisaties en doorrekening</w:t>
            </w:r>
          </w:p>
        </w:tc>
      </w:tr>
    </w:tbl>
    <w:p>
      <w:pPr>
        <w:spacing w:after="20"/>
      </w:pPr>
    </w:p>
    <w:p>
      <w:pPr>
        <w:pStyle w:val="Heading1"/>
      </w:pPr>
      <w:r>
        <w:t>Invulvolgorde</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850"/>
            <w:shd w:fill="17324D"/>
            <w:vAlign w:val="center"/>
            <w:tcMar>
              <w:top w:w="100" w:type="dxa"/>
              <w:start w:w="110" w:type="dxa"/>
              <w:bottom w:w="100" w:type="dxa"/>
              <w:end w:w="110" w:type="dxa"/>
            </w:tcMar>
          </w:tcPr>
          <w:p>
            <w:pPr>
              <w:jc w:val="left"/>
            </w:pPr>
            <w:r/>
            <w:r>
              <w:rPr>
                <w:rFonts w:ascii="Arial" w:hAnsi="Arial"/>
                <w:b/>
                <w:color w:val="FFFFFF"/>
                <w:sz w:val="17"/>
              </w:rPr>
              <w:t>Stap</w:t>
            </w:r>
          </w:p>
        </w:tc>
        <w:tc>
          <w:tcPr>
            <w:tcW w:type="dxa" w:w="8617"/>
            <w:shd w:fill="17324D"/>
            <w:vAlign w:val="center"/>
            <w:tcMar>
              <w:top w:w="100" w:type="dxa"/>
              <w:start w:w="110" w:type="dxa"/>
              <w:bottom w:w="100" w:type="dxa"/>
              <w:end w:w="110" w:type="dxa"/>
            </w:tcMar>
          </w:tcPr>
          <w:p>
            <w:pPr>
              <w:jc w:val="left"/>
            </w:pPr>
            <w:r/>
            <w:r>
              <w:rPr>
                <w:rFonts w:ascii="Arial" w:hAnsi="Arial"/>
                <w:b/>
                <w:color w:val="FFFFFF"/>
                <w:sz w:val="17"/>
              </w:rPr>
              <w:t>Handeling</w:t>
            </w:r>
          </w:p>
        </w:tc>
      </w:tr>
      <w:tr>
        <w:trPr>
          <w:cantSplit/>
        </w:trPr>
        <w:tc>
          <w:tcPr>
            <w:tcW w:type="dxa" w:w="850"/>
            <w:vAlign w:val="center"/>
            <w:tcMar>
              <w:top w:w="100" w:type="dxa"/>
              <w:start w:w="110" w:type="dxa"/>
              <w:bottom w:w="100" w:type="dxa"/>
              <w:end w:w="110" w:type="dxa"/>
            </w:tcMar>
          </w:tcPr>
          <w:p>
            <w:pPr>
              <w:jc w:val="left"/>
            </w:pPr>
            <w:r/>
            <w:r>
              <w:rPr>
                <w:rFonts w:ascii="Arial" w:hAnsi="Arial"/>
                <w:b w:val="0"/>
                <w:color w:val="1F2937"/>
                <w:sz w:val="17"/>
              </w:rPr>
              <w:t>1</w:t>
            </w:r>
          </w:p>
        </w:tc>
        <w:tc>
          <w:tcPr>
            <w:tcW w:type="dxa" w:w="8617"/>
            <w:vAlign w:val="center"/>
            <w:tcMar>
              <w:top w:w="100" w:type="dxa"/>
              <w:start w:w="110" w:type="dxa"/>
              <w:bottom w:w="100" w:type="dxa"/>
              <w:end w:w="110" w:type="dxa"/>
            </w:tcMar>
          </w:tcPr>
          <w:p>
            <w:pPr>
              <w:jc w:val="left"/>
            </w:pPr>
            <w:r/>
            <w:r>
              <w:rPr>
                <w:rFonts w:ascii="Arial" w:hAnsi="Arial"/>
                <w:b w:val="0"/>
                <w:color w:val="1F2937"/>
                <w:sz w:val="17"/>
              </w:rPr>
              <w:t>Leg gebied, peildatum, populatie, prijsniveau en beleidsvariant vast.</w:t>
            </w:r>
          </w:p>
        </w:tc>
      </w:tr>
      <w:tr>
        <w:trPr>
          <w:cantSplit/>
        </w:trPr>
        <w:tc>
          <w:tcPr>
            <w:tcW w:type="dxa" w:w="850"/>
            <w:vAlign w:val="center"/>
            <w:tcMar>
              <w:top w:w="100" w:type="dxa"/>
              <w:start w:w="110" w:type="dxa"/>
              <w:bottom w:w="100" w:type="dxa"/>
              <w:end w:w="110" w:type="dxa"/>
            </w:tcMar>
            <w:shd w:fill="F3F5F7"/>
          </w:tcPr>
          <w:p>
            <w:pPr>
              <w:jc w:val="left"/>
            </w:pPr>
            <w:r/>
            <w:r>
              <w:rPr>
                <w:rFonts w:ascii="Arial" w:hAnsi="Arial"/>
                <w:b w:val="0"/>
                <w:color w:val="1F2937"/>
                <w:sz w:val="17"/>
              </w:rPr>
              <w:t>2</w:t>
            </w:r>
          </w:p>
        </w:tc>
        <w:tc>
          <w:tcPr>
            <w:tcW w:type="dxa" w:w="8617"/>
            <w:vAlign w:val="center"/>
            <w:tcMar>
              <w:top w:w="100" w:type="dxa"/>
              <w:start w:w="110" w:type="dxa"/>
              <w:bottom w:w="100" w:type="dxa"/>
              <w:end w:w="110" w:type="dxa"/>
            </w:tcMar>
            <w:shd w:fill="F3F5F7"/>
          </w:tcPr>
          <w:p>
            <w:pPr>
              <w:jc w:val="left"/>
            </w:pPr>
            <w:r/>
            <w:r>
              <w:rPr>
                <w:rFonts w:ascii="Arial" w:hAnsi="Arial"/>
                <w:b w:val="0"/>
                <w:color w:val="1F2937"/>
                <w:sz w:val="17"/>
              </w:rPr>
              <w:t>Stel de minimumnormen vast voor passende woning, kwaliteit, locatie, woonzekerheid en overige noodzakelijke uitgaven.</w:t>
            </w:r>
          </w:p>
        </w:tc>
      </w:tr>
      <w:tr>
        <w:trPr>
          <w:cantSplit/>
        </w:trPr>
        <w:tc>
          <w:tcPr>
            <w:tcW w:type="dxa" w:w="850"/>
            <w:vAlign w:val="center"/>
            <w:tcMar>
              <w:top w:w="100" w:type="dxa"/>
              <w:start w:w="110" w:type="dxa"/>
              <w:bottom w:w="100" w:type="dxa"/>
              <w:end w:w="110" w:type="dxa"/>
            </w:tcMar>
          </w:tcPr>
          <w:p>
            <w:pPr>
              <w:jc w:val="left"/>
            </w:pPr>
            <w:r/>
            <w:r>
              <w:rPr>
                <w:rFonts w:ascii="Arial" w:hAnsi="Arial"/>
                <w:b w:val="0"/>
                <w:color w:val="1F2937"/>
                <w:sz w:val="17"/>
              </w:rPr>
              <w:t>3</w:t>
            </w:r>
          </w:p>
        </w:tc>
        <w:tc>
          <w:tcPr>
            <w:tcW w:type="dxa" w:w="8617"/>
            <w:vAlign w:val="center"/>
            <w:tcMar>
              <w:top w:w="100" w:type="dxa"/>
              <w:start w:w="110" w:type="dxa"/>
              <w:bottom w:w="100" w:type="dxa"/>
              <w:end w:w="110" w:type="dxa"/>
            </w:tcMar>
          </w:tcPr>
          <w:p>
            <w:pPr>
              <w:jc w:val="left"/>
            </w:pPr>
            <w:r/>
            <w:r>
              <w:rPr>
                <w:rFonts w:ascii="Arial" w:hAnsi="Arial"/>
                <w:b w:val="0"/>
                <w:color w:val="1F2937"/>
                <w:sz w:val="17"/>
              </w:rPr>
              <w:t>Verdeel de huishoudens in niet overlappende groepen en controleer of de som gelijk is aan de onderzochte populatie.</w:t>
            </w:r>
          </w:p>
        </w:tc>
      </w:tr>
      <w:tr>
        <w:trPr>
          <w:cantSplit/>
        </w:trPr>
        <w:tc>
          <w:tcPr>
            <w:tcW w:type="dxa" w:w="850"/>
            <w:vAlign w:val="center"/>
            <w:tcMar>
              <w:top w:w="100" w:type="dxa"/>
              <w:start w:w="110" w:type="dxa"/>
              <w:bottom w:w="100" w:type="dxa"/>
              <w:end w:w="110" w:type="dxa"/>
            </w:tcMar>
            <w:shd w:fill="F3F5F7"/>
          </w:tcPr>
          <w:p>
            <w:pPr>
              <w:jc w:val="left"/>
            </w:pPr>
            <w:r/>
            <w:r>
              <w:rPr>
                <w:rFonts w:ascii="Arial" w:hAnsi="Arial"/>
                <w:b w:val="0"/>
                <w:color w:val="1F2937"/>
                <w:sz w:val="17"/>
              </w:rPr>
              <w:t>4</w:t>
            </w:r>
          </w:p>
        </w:tc>
        <w:tc>
          <w:tcPr>
            <w:tcW w:type="dxa" w:w="8617"/>
            <w:vAlign w:val="center"/>
            <w:tcMar>
              <w:top w:w="100" w:type="dxa"/>
              <w:start w:w="110" w:type="dxa"/>
              <w:bottom w:w="100" w:type="dxa"/>
              <w:end w:w="110" w:type="dxa"/>
            </w:tcMar>
            <w:shd w:fill="F3F5F7"/>
          </w:tcPr>
          <w:p>
            <w:pPr>
              <w:jc w:val="left"/>
            </w:pPr>
            <w:r/>
            <w:r>
              <w:rPr>
                <w:rFonts w:ascii="Arial" w:hAnsi="Arial"/>
                <w:b w:val="0"/>
                <w:color w:val="1F2937"/>
                <w:sz w:val="17"/>
              </w:rPr>
              <w:t>Tel per groep de woningen die werkelijk beschikbaar zijn en alle adequaatheidstoetsen doorstaan.</w:t>
            </w:r>
          </w:p>
        </w:tc>
      </w:tr>
      <w:tr>
        <w:trPr>
          <w:cantSplit/>
        </w:trPr>
        <w:tc>
          <w:tcPr>
            <w:tcW w:type="dxa" w:w="850"/>
            <w:vAlign w:val="center"/>
            <w:tcMar>
              <w:top w:w="100" w:type="dxa"/>
              <w:start w:w="110" w:type="dxa"/>
              <w:bottom w:w="100" w:type="dxa"/>
              <w:end w:w="110" w:type="dxa"/>
            </w:tcMar>
          </w:tcPr>
          <w:p>
            <w:pPr>
              <w:jc w:val="left"/>
            </w:pPr>
            <w:r/>
            <w:r>
              <w:rPr>
                <w:rFonts w:ascii="Arial" w:hAnsi="Arial"/>
                <w:b w:val="0"/>
                <w:color w:val="1F2937"/>
                <w:sz w:val="17"/>
              </w:rPr>
              <w:t>5</w:t>
            </w:r>
          </w:p>
        </w:tc>
        <w:tc>
          <w:tcPr>
            <w:tcW w:type="dxa" w:w="8617"/>
            <w:vAlign w:val="center"/>
            <w:tcMar>
              <w:top w:w="100" w:type="dxa"/>
              <w:start w:w="110" w:type="dxa"/>
              <w:bottom w:w="100" w:type="dxa"/>
              <w:end w:w="110" w:type="dxa"/>
            </w:tcMar>
          </w:tcPr>
          <w:p>
            <w:pPr>
              <w:jc w:val="left"/>
            </w:pPr>
            <w:r/>
            <w:r>
              <w:rPr>
                <w:rFonts w:ascii="Arial" w:hAnsi="Arial"/>
                <w:b w:val="0"/>
                <w:color w:val="1F2937"/>
                <w:sz w:val="17"/>
              </w:rPr>
              <w:t>Koppel huishoudens en woningen een op een. Registreer de dekkingsgraad en het tekort per groep.</w:t>
            </w:r>
          </w:p>
        </w:tc>
      </w:tr>
      <w:tr>
        <w:trPr>
          <w:cantSplit/>
        </w:trPr>
        <w:tc>
          <w:tcPr>
            <w:tcW w:type="dxa" w:w="850"/>
            <w:vAlign w:val="center"/>
            <w:tcMar>
              <w:top w:w="100" w:type="dxa"/>
              <w:start w:w="110" w:type="dxa"/>
              <w:bottom w:w="100" w:type="dxa"/>
              <w:end w:w="110" w:type="dxa"/>
            </w:tcMar>
            <w:shd w:fill="F3F5F7"/>
          </w:tcPr>
          <w:p>
            <w:pPr>
              <w:jc w:val="left"/>
            </w:pPr>
            <w:r/>
            <w:r>
              <w:rPr>
                <w:rFonts w:ascii="Arial" w:hAnsi="Arial"/>
                <w:b w:val="0"/>
                <w:color w:val="1F2937"/>
                <w:sz w:val="17"/>
              </w:rPr>
              <w:t>6</w:t>
            </w:r>
          </w:p>
        </w:tc>
        <w:tc>
          <w:tcPr>
            <w:tcW w:type="dxa" w:w="8617"/>
            <w:vAlign w:val="center"/>
            <w:tcMar>
              <w:top w:w="100" w:type="dxa"/>
              <w:start w:w="110" w:type="dxa"/>
              <w:bottom w:w="100" w:type="dxa"/>
              <w:end w:w="110" w:type="dxa"/>
            </w:tcMar>
            <w:shd w:fill="F3F5F7"/>
          </w:tcPr>
          <w:p>
            <w:pPr>
              <w:jc w:val="left"/>
            </w:pPr>
            <w:r/>
            <w:r>
              <w:rPr>
                <w:rFonts w:ascii="Arial" w:hAnsi="Arial"/>
                <w:b w:val="0"/>
                <w:color w:val="1F2937"/>
                <w:sz w:val="17"/>
              </w:rPr>
              <w:t>Vul per representatief huishouden inkomen, samenstelling, gewicht, woonlasten en het niet woongebonden minimumbudget in.</w:t>
            </w:r>
          </w:p>
        </w:tc>
      </w:tr>
      <w:tr>
        <w:trPr>
          <w:cantSplit/>
        </w:trPr>
        <w:tc>
          <w:tcPr>
            <w:tcW w:type="dxa" w:w="850"/>
            <w:vAlign w:val="center"/>
            <w:tcMar>
              <w:top w:w="100" w:type="dxa"/>
              <w:start w:w="110" w:type="dxa"/>
              <w:bottom w:w="100" w:type="dxa"/>
              <w:end w:w="110" w:type="dxa"/>
            </w:tcMar>
          </w:tcPr>
          <w:p>
            <w:pPr>
              <w:jc w:val="left"/>
            </w:pPr>
            <w:r/>
            <w:r>
              <w:rPr>
                <w:rFonts w:ascii="Arial" w:hAnsi="Arial"/>
                <w:b w:val="0"/>
                <w:color w:val="1F2937"/>
                <w:sz w:val="17"/>
              </w:rPr>
              <w:t>7</w:t>
            </w:r>
          </w:p>
        </w:tc>
        <w:tc>
          <w:tcPr>
            <w:tcW w:type="dxa" w:w="8617"/>
            <w:vAlign w:val="center"/>
            <w:tcMar>
              <w:top w:w="100" w:type="dxa"/>
              <w:start w:w="110" w:type="dxa"/>
              <w:bottom w:w="100" w:type="dxa"/>
              <w:end w:w="110" w:type="dxa"/>
            </w:tcMar>
          </w:tcPr>
          <w:p>
            <w:pPr>
              <w:jc w:val="left"/>
            </w:pPr>
            <w:r/>
            <w:r>
              <w:rPr>
                <w:rFonts w:ascii="Arial" w:hAnsi="Arial"/>
                <w:b w:val="0"/>
                <w:color w:val="1F2937"/>
                <w:sz w:val="17"/>
              </w:rPr>
              <w:t>Kies het basisinkomensscenario en controleer welke bestaande inkomensregelingen in Y zijn verwerkt.</w:t>
            </w:r>
          </w:p>
        </w:tc>
      </w:tr>
      <w:tr>
        <w:trPr>
          <w:cantSplit/>
        </w:trPr>
        <w:tc>
          <w:tcPr>
            <w:tcW w:type="dxa" w:w="850"/>
            <w:vAlign w:val="center"/>
            <w:tcMar>
              <w:top w:w="100" w:type="dxa"/>
              <w:start w:w="110" w:type="dxa"/>
              <w:bottom w:w="100" w:type="dxa"/>
              <w:end w:w="110" w:type="dxa"/>
            </w:tcMar>
            <w:shd w:fill="F3F5F7"/>
          </w:tcPr>
          <w:p>
            <w:pPr>
              <w:jc w:val="left"/>
            </w:pPr>
            <w:r/>
            <w:r>
              <w:rPr>
                <w:rFonts w:ascii="Arial" w:hAnsi="Arial"/>
                <w:b w:val="0"/>
                <w:color w:val="1F2937"/>
                <w:sz w:val="17"/>
              </w:rPr>
              <w:t>8</w:t>
            </w:r>
          </w:p>
        </w:tc>
        <w:tc>
          <w:tcPr>
            <w:tcW w:type="dxa" w:w="8617"/>
            <w:vAlign w:val="center"/>
            <w:tcMar>
              <w:top w:w="100" w:type="dxa"/>
              <w:start w:w="110" w:type="dxa"/>
              <w:bottom w:w="100" w:type="dxa"/>
              <w:end w:w="110" w:type="dxa"/>
            </w:tcMar>
            <w:shd w:fill="F3F5F7"/>
          </w:tcPr>
          <w:p>
            <w:pPr>
              <w:jc w:val="left"/>
            </w:pPr>
            <w:r/>
            <w:r>
              <w:rPr>
                <w:rFonts w:ascii="Arial" w:hAnsi="Arial"/>
                <w:b w:val="0"/>
                <w:color w:val="1F2937"/>
                <w:sz w:val="17"/>
              </w:rPr>
              <w:t>Bereken bestaansruimte, resterend tekort, inkomensdekking en gezamenlijke bestaansbasis.</w:t>
            </w:r>
          </w:p>
        </w:tc>
      </w:tr>
      <w:tr>
        <w:trPr>
          <w:cantSplit/>
        </w:trPr>
        <w:tc>
          <w:tcPr>
            <w:tcW w:type="dxa" w:w="850"/>
            <w:vAlign w:val="center"/>
            <w:tcMar>
              <w:top w:w="100" w:type="dxa"/>
              <w:start w:w="110" w:type="dxa"/>
              <w:bottom w:w="100" w:type="dxa"/>
              <w:end w:w="110" w:type="dxa"/>
            </w:tcMar>
          </w:tcPr>
          <w:p>
            <w:pPr>
              <w:jc w:val="left"/>
            </w:pPr>
            <w:r/>
            <w:r>
              <w:rPr>
                <w:rFonts w:ascii="Arial" w:hAnsi="Arial"/>
                <w:b w:val="0"/>
                <w:color w:val="1F2937"/>
                <w:sz w:val="17"/>
              </w:rPr>
              <w:t>9</w:t>
            </w:r>
          </w:p>
        </w:tc>
        <w:tc>
          <w:tcPr>
            <w:tcW w:type="dxa" w:w="8617"/>
            <w:vAlign w:val="center"/>
            <w:tcMar>
              <w:top w:w="100" w:type="dxa"/>
              <w:start w:w="110" w:type="dxa"/>
              <w:bottom w:w="100" w:type="dxa"/>
              <w:end w:w="110" w:type="dxa"/>
            </w:tcMar>
          </w:tcPr>
          <w:p>
            <w:pPr>
              <w:jc w:val="left"/>
            </w:pPr>
            <w:r/>
            <w:r>
              <w:rPr>
                <w:rFonts w:ascii="Arial" w:hAnsi="Arial"/>
                <w:b w:val="0"/>
                <w:color w:val="1F2937"/>
                <w:sz w:val="17"/>
              </w:rPr>
              <w:t>Bereken bruto en netto beleidskosten en vermeld alle vervallen regelingen en belastingaanpassingen afzonderlijk.</w:t>
            </w:r>
          </w:p>
        </w:tc>
      </w:tr>
      <w:tr>
        <w:trPr>
          <w:cantSplit/>
        </w:trPr>
        <w:tc>
          <w:tcPr>
            <w:tcW w:type="dxa" w:w="850"/>
            <w:vAlign w:val="center"/>
            <w:tcMar>
              <w:top w:w="100" w:type="dxa"/>
              <w:start w:w="110" w:type="dxa"/>
              <w:bottom w:w="100" w:type="dxa"/>
              <w:end w:w="110" w:type="dxa"/>
            </w:tcMar>
            <w:shd w:fill="F3F5F7"/>
          </w:tcPr>
          <w:p>
            <w:pPr>
              <w:jc w:val="left"/>
            </w:pPr>
            <w:r/>
            <w:r>
              <w:rPr>
                <w:rFonts w:ascii="Arial" w:hAnsi="Arial"/>
                <w:b w:val="0"/>
                <w:color w:val="1F2937"/>
                <w:sz w:val="17"/>
              </w:rPr>
              <w:t>10</w:t>
            </w:r>
          </w:p>
        </w:tc>
        <w:tc>
          <w:tcPr>
            <w:tcW w:type="dxa" w:w="8617"/>
            <w:vAlign w:val="center"/>
            <w:tcMar>
              <w:top w:w="100" w:type="dxa"/>
              <w:start w:w="110" w:type="dxa"/>
              <w:bottom w:w="100" w:type="dxa"/>
              <w:end w:w="110" w:type="dxa"/>
            </w:tcMar>
            <w:shd w:fill="F3F5F7"/>
          </w:tcPr>
          <w:p>
            <w:pPr>
              <w:jc w:val="left"/>
            </w:pPr>
            <w:r/>
            <w:r>
              <w:rPr>
                <w:rFonts w:ascii="Arial" w:hAnsi="Arial"/>
                <w:b w:val="0"/>
                <w:color w:val="1F2937"/>
                <w:sz w:val="17"/>
              </w:rPr>
              <w:t>Publiceer totaalcijfers, groepsuitkomsten, ontbrekende gegevens, bronjaar en gevoeligheden.</w:t>
            </w:r>
          </w:p>
        </w:tc>
      </w:tr>
    </w:tbl>
    <w:p>
      <w:pPr>
        <w:spacing w:after="20"/>
      </w:pPr>
    </w:p>
    <w:p>
      <w:pPr>
        <w:pStyle w:val="Heading1"/>
      </w:pPr>
      <w:r>
        <w:t>Kwaliteitsregels</w:t>
      </w:r>
    </w:p>
    <w:p>
      <w:pPr>
        <w:pStyle w:val="ListBullet"/>
        <w:spacing w:after="40"/>
      </w:pPr>
      <w:r>
        <w:t>Gebruik voor vraag, aanbod, inkomen en prijsniveau dezelfde peildatum of documenteer de correctie.</w:t>
      </w:r>
    </w:p>
    <w:p>
      <w:pPr>
        <w:pStyle w:val="ListBullet"/>
        <w:spacing w:after="40"/>
      </w:pPr>
      <w:r>
        <w:t>Maak groepen onderling uitsluitend. Voorkom dat dezelfde woning of hetzelfde huishouden in meerdere groepen wordt opgeteld.</w:t>
      </w:r>
    </w:p>
    <w:p>
      <w:pPr>
        <w:pStyle w:val="ListBullet"/>
        <w:spacing w:after="40"/>
      </w:pPr>
      <w:r>
        <w:t>Vervang ontbrekende gegevens niet door nul. Markeer ze als ontbrekend en rapporteer het aandeel onvolledige waarnemingen.</w:t>
      </w:r>
    </w:p>
    <w:p>
      <w:pPr>
        <w:pStyle w:val="ListBullet"/>
        <w:spacing w:after="40"/>
      </w:pPr>
      <w:r>
        <w:t>Scheid gemeten gegevens, ervaren kwaliteit en deskundige beoordeling. Noteer per invoer de bron en het jaar.</w:t>
      </w:r>
    </w:p>
    <w:p>
      <w:pPr>
        <w:pStyle w:val="ListBullet"/>
        <w:spacing w:after="40"/>
      </w:pPr>
      <w:r>
        <w:t>Publiceer zowel de totaalscore als de laagste groepsdekking en de omvang van ieder relevant tekort.</w:t>
      </w:r>
    </w:p>
    <w:p>
      <w:pPr>
        <w:pStyle w:val="ListBullet"/>
        <w:spacing w:after="40"/>
      </w:pPr>
      <w:r>
        <w:t>Voer een gevoeligheidsanalyse uit voor minimumbudget, woonlasten, basisinkomensbedrag en beleidsvariant.</w:t>
      </w:r>
    </w:p>
    <w:p>
      <w:pPr>
        <w:pStyle w:val="ListBullet"/>
        <w:spacing w:after="40"/>
      </w:pPr>
      <w:r>
        <w:t>Presenteer een prognose nooit als actuele voorraad. Maak de realisatiedatum en onzekerheid zichtbaar.</w:t>
      </w:r>
    </w:p>
    <w:p>
      <w:pPr>
        <w:pStyle w:val="Heading1"/>
      </w:pPr>
      <w:r>
        <w:t>Verplichte uitkomsten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835"/>
            <w:shd w:fill="17324D"/>
            <w:vAlign w:val="center"/>
            <w:tcMar>
              <w:top w:w="100" w:type="dxa"/>
              <w:start w:w="110" w:type="dxa"/>
              <w:bottom w:w="100" w:type="dxa"/>
              <w:end w:w="110" w:type="dxa"/>
            </w:tcMar>
          </w:tcPr>
          <w:p>
            <w:pPr>
              <w:jc w:val="left"/>
            </w:pPr>
            <w:r/>
            <w:r>
              <w:rPr>
                <w:rFonts w:ascii="Arial" w:hAnsi="Arial"/>
                <w:b/>
                <w:color w:val="FFFFFF"/>
                <w:sz w:val="16"/>
              </w:rPr>
              <w:t>Uitkomst</w:t>
            </w:r>
          </w:p>
        </w:tc>
        <w:tc>
          <w:tcPr>
            <w:tcW w:type="dxa" w:w="2268"/>
            <w:shd w:fill="17324D"/>
            <w:vAlign w:val="center"/>
            <w:tcMar>
              <w:top w:w="100" w:type="dxa"/>
              <w:start w:w="110" w:type="dxa"/>
              <w:bottom w:w="100" w:type="dxa"/>
              <w:end w:w="110" w:type="dxa"/>
            </w:tcMar>
          </w:tcPr>
          <w:p>
            <w:pPr>
              <w:jc w:val="left"/>
            </w:pPr>
            <w:r/>
            <w:r>
              <w:rPr>
                <w:rFonts w:ascii="Arial" w:hAnsi="Arial"/>
                <w:b/>
                <w:color w:val="FFFFFF"/>
                <w:sz w:val="16"/>
              </w:rPr>
              <w:t>Eenheid</w:t>
            </w:r>
          </w:p>
        </w:tc>
        <w:tc>
          <w:tcPr>
            <w:tcW w:type="dxa" w:w="4365"/>
            <w:shd w:fill="17324D"/>
            <w:vAlign w:val="center"/>
            <w:tcMar>
              <w:top w:w="100" w:type="dxa"/>
              <w:start w:w="110" w:type="dxa"/>
              <w:bottom w:w="100" w:type="dxa"/>
              <w:end w:w="110" w:type="dxa"/>
            </w:tcMar>
          </w:tcPr>
          <w:p>
            <w:pPr>
              <w:jc w:val="left"/>
            </w:pPr>
            <w:r/>
            <w:r>
              <w:rPr>
                <w:rFonts w:ascii="Arial" w:hAnsi="Arial"/>
                <w:b/>
                <w:color w:val="FFFFFF"/>
                <w:sz w:val="16"/>
              </w:rPr>
              <w:t>Waarom nodig</w:t>
            </w:r>
          </w:p>
        </w:tc>
      </w:tr>
      <w:tr>
        <w:trPr>
          <w:cantSplit/>
        </w:trPr>
        <w:tc>
          <w:tcPr>
            <w:tcW w:type="dxa" w:w="2835"/>
            <w:vAlign w:val="center"/>
            <w:tcMar>
              <w:top w:w="100" w:type="dxa"/>
              <w:start w:w="110" w:type="dxa"/>
              <w:bottom w:w="100" w:type="dxa"/>
              <w:end w:w="110" w:type="dxa"/>
            </w:tcMar>
          </w:tcPr>
          <w:p>
            <w:pPr>
              <w:jc w:val="left"/>
            </w:pPr>
            <w:r/>
            <w:r>
              <w:rPr>
                <w:rFonts w:ascii="Arial" w:hAnsi="Arial"/>
                <w:b w:val="0"/>
                <w:color w:val="1F2937"/>
                <w:sz w:val="16"/>
              </w:rPr>
              <w:t>Adequate woningvoorraad AW</w:t>
            </w:r>
          </w:p>
        </w:tc>
        <w:tc>
          <w:tcPr>
            <w:tcW w:type="dxa" w:w="2268"/>
            <w:vAlign w:val="center"/>
            <w:tcMar>
              <w:top w:w="100" w:type="dxa"/>
              <w:start w:w="110" w:type="dxa"/>
              <w:bottom w:w="100" w:type="dxa"/>
              <w:end w:w="110" w:type="dxa"/>
            </w:tcMar>
          </w:tcPr>
          <w:p>
            <w:pPr>
              <w:jc w:val="left"/>
            </w:pPr>
            <w:r/>
            <w:r>
              <w:rPr>
                <w:rFonts w:ascii="Arial" w:hAnsi="Arial"/>
                <w:b w:val="0"/>
                <w:color w:val="1F2937"/>
                <w:sz w:val="16"/>
              </w:rPr>
              <w:t>percentage</w:t>
            </w:r>
          </w:p>
        </w:tc>
        <w:tc>
          <w:tcPr>
            <w:tcW w:type="dxa" w:w="4365"/>
            <w:vAlign w:val="center"/>
            <w:tcMar>
              <w:top w:w="100" w:type="dxa"/>
              <w:start w:w="110" w:type="dxa"/>
              <w:bottom w:w="100" w:type="dxa"/>
              <w:end w:w="110" w:type="dxa"/>
            </w:tcMar>
          </w:tcPr>
          <w:p>
            <w:pPr>
              <w:jc w:val="left"/>
            </w:pPr>
            <w:r/>
            <w:r>
              <w:rPr>
                <w:rFonts w:ascii="Arial" w:hAnsi="Arial"/>
                <w:b w:val="0"/>
                <w:color w:val="1F2937"/>
                <w:sz w:val="16"/>
              </w:rPr>
              <w:t>aandeel huishoudens met een adequate koppeling</w:t>
            </w:r>
          </w:p>
        </w:tc>
      </w:tr>
      <w:tr>
        <w:trPr>
          <w:cantSplit/>
        </w:trPr>
        <w:tc>
          <w:tcPr>
            <w:tcW w:type="dxa" w:w="2835"/>
            <w:vAlign w:val="center"/>
            <w:tcMar>
              <w:top w:w="100" w:type="dxa"/>
              <w:start w:w="110" w:type="dxa"/>
              <w:bottom w:w="100" w:type="dxa"/>
              <w:end w:w="110" w:type="dxa"/>
            </w:tcMar>
            <w:shd w:fill="F3F5F7"/>
          </w:tcPr>
          <w:p>
            <w:pPr>
              <w:jc w:val="left"/>
            </w:pPr>
            <w:r/>
            <w:r>
              <w:rPr>
                <w:rFonts w:ascii="Arial" w:hAnsi="Arial"/>
                <w:b w:val="0"/>
                <w:color w:val="1F2937"/>
                <w:sz w:val="16"/>
              </w:rPr>
              <w:t>Totaal woningtekort</w:t>
            </w:r>
          </w:p>
        </w:tc>
        <w:tc>
          <w:tcPr>
            <w:tcW w:type="dxa" w:w="2268"/>
            <w:vAlign w:val="center"/>
            <w:tcMar>
              <w:top w:w="100" w:type="dxa"/>
              <w:start w:w="110" w:type="dxa"/>
              <w:bottom w:w="100" w:type="dxa"/>
              <w:end w:w="110" w:type="dxa"/>
            </w:tcMar>
            <w:shd w:fill="F3F5F7"/>
          </w:tcPr>
          <w:p>
            <w:pPr>
              <w:jc w:val="left"/>
            </w:pPr>
            <w:r/>
            <w:r>
              <w:rPr>
                <w:rFonts w:ascii="Arial" w:hAnsi="Arial"/>
                <w:b w:val="0"/>
                <w:color w:val="1F2937"/>
                <w:sz w:val="16"/>
              </w:rPr>
              <w:t>woningen</w:t>
            </w:r>
          </w:p>
        </w:tc>
        <w:tc>
          <w:tcPr>
            <w:tcW w:type="dxa" w:w="4365"/>
            <w:vAlign w:val="center"/>
            <w:tcMar>
              <w:top w:w="100" w:type="dxa"/>
              <w:start w:w="110" w:type="dxa"/>
              <w:bottom w:w="100" w:type="dxa"/>
              <w:end w:w="110" w:type="dxa"/>
            </w:tcMar>
            <w:shd w:fill="F3F5F7"/>
          </w:tcPr>
          <w:p>
            <w:pPr>
              <w:jc w:val="left"/>
            </w:pPr>
            <w:r/>
            <w:r>
              <w:rPr>
                <w:rFonts w:ascii="Arial" w:hAnsi="Arial"/>
                <w:b w:val="0"/>
                <w:color w:val="1F2937"/>
                <w:sz w:val="16"/>
              </w:rPr>
              <w:t>concrete omvang van de resterende opgave</w:t>
            </w:r>
          </w:p>
        </w:tc>
      </w:tr>
      <w:tr>
        <w:trPr>
          <w:cantSplit/>
        </w:trPr>
        <w:tc>
          <w:tcPr>
            <w:tcW w:type="dxa" w:w="2835"/>
            <w:vAlign w:val="center"/>
            <w:tcMar>
              <w:top w:w="100" w:type="dxa"/>
              <w:start w:w="110" w:type="dxa"/>
              <w:bottom w:w="100" w:type="dxa"/>
              <w:end w:w="110" w:type="dxa"/>
            </w:tcMar>
          </w:tcPr>
          <w:p>
            <w:pPr>
              <w:jc w:val="left"/>
            </w:pPr>
            <w:r/>
            <w:r>
              <w:rPr>
                <w:rFonts w:ascii="Arial" w:hAnsi="Arial"/>
                <w:b w:val="0"/>
                <w:color w:val="1F2937"/>
                <w:sz w:val="16"/>
              </w:rPr>
              <w:t>Dekking per groep</w:t>
            </w:r>
          </w:p>
        </w:tc>
        <w:tc>
          <w:tcPr>
            <w:tcW w:type="dxa" w:w="2268"/>
            <w:vAlign w:val="center"/>
            <w:tcMar>
              <w:top w:w="100" w:type="dxa"/>
              <w:start w:w="110" w:type="dxa"/>
              <w:bottom w:w="100" w:type="dxa"/>
              <w:end w:w="110" w:type="dxa"/>
            </w:tcMar>
          </w:tcPr>
          <w:p>
            <w:pPr>
              <w:jc w:val="left"/>
            </w:pPr>
            <w:r/>
            <w:r>
              <w:rPr>
                <w:rFonts w:ascii="Arial" w:hAnsi="Arial"/>
                <w:b w:val="0"/>
                <w:color w:val="1F2937"/>
                <w:sz w:val="16"/>
              </w:rPr>
              <w:t>percentage</w:t>
            </w:r>
          </w:p>
        </w:tc>
        <w:tc>
          <w:tcPr>
            <w:tcW w:type="dxa" w:w="4365"/>
            <w:vAlign w:val="center"/>
            <w:tcMar>
              <w:top w:w="100" w:type="dxa"/>
              <w:start w:w="110" w:type="dxa"/>
              <w:bottom w:w="100" w:type="dxa"/>
              <w:end w:w="110" w:type="dxa"/>
            </w:tcMar>
          </w:tcPr>
          <w:p>
            <w:pPr>
              <w:jc w:val="left"/>
            </w:pPr>
            <w:r/>
            <w:r>
              <w:rPr>
                <w:rFonts w:ascii="Arial" w:hAnsi="Arial"/>
                <w:b w:val="0"/>
                <w:color w:val="1F2937"/>
                <w:sz w:val="16"/>
              </w:rPr>
              <w:t>zicht op verdeling en achterblijvende groepen</w:t>
            </w:r>
          </w:p>
        </w:tc>
      </w:tr>
      <w:tr>
        <w:trPr>
          <w:cantSplit/>
        </w:trPr>
        <w:tc>
          <w:tcPr>
            <w:tcW w:type="dxa" w:w="2835"/>
            <w:vAlign w:val="center"/>
            <w:tcMar>
              <w:top w:w="100" w:type="dxa"/>
              <w:start w:w="110" w:type="dxa"/>
              <w:bottom w:w="100" w:type="dxa"/>
              <w:end w:w="110" w:type="dxa"/>
            </w:tcMar>
            <w:shd w:fill="F3F5F7"/>
          </w:tcPr>
          <w:p>
            <w:pPr>
              <w:jc w:val="left"/>
            </w:pPr>
            <w:r/>
            <w:r>
              <w:rPr>
                <w:rFonts w:ascii="Arial" w:hAnsi="Arial"/>
                <w:b w:val="0"/>
                <w:color w:val="1F2937"/>
                <w:sz w:val="16"/>
              </w:rPr>
              <w:t>Laagste groepsdekking</w:t>
            </w:r>
          </w:p>
        </w:tc>
        <w:tc>
          <w:tcPr>
            <w:tcW w:type="dxa" w:w="2268"/>
            <w:vAlign w:val="center"/>
            <w:tcMar>
              <w:top w:w="100" w:type="dxa"/>
              <w:start w:w="110" w:type="dxa"/>
              <w:bottom w:w="100" w:type="dxa"/>
              <w:end w:w="110" w:type="dxa"/>
            </w:tcMar>
            <w:shd w:fill="F3F5F7"/>
          </w:tcPr>
          <w:p>
            <w:pPr>
              <w:jc w:val="left"/>
            </w:pPr>
            <w:r/>
            <w:r>
              <w:rPr>
                <w:rFonts w:ascii="Arial" w:hAnsi="Arial"/>
                <w:b w:val="0"/>
                <w:color w:val="1F2937"/>
                <w:sz w:val="16"/>
              </w:rPr>
              <w:t>percentage</w:t>
            </w:r>
          </w:p>
        </w:tc>
        <w:tc>
          <w:tcPr>
            <w:tcW w:type="dxa" w:w="4365"/>
            <w:vAlign w:val="center"/>
            <w:tcMar>
              <w:top w:w="100" w:type="dxa"/>
              <w:start w:w="110" w:type="dxa"/>
              <w:bottom w:w="100" w:type="dxa"/>
              <w:end w:w="110" w:type="dxa"/>
            </w:tcMar>
            <w:shd w:fill="F3F5F7"/>
          </w:tcPr>
          <w:p>
            <w:pPr>
              <w:jc w:val="left"/>
            </w:pPr>
            <w:r/>
            <w:r>
              <w:rPr>
                <w:rFonts w:ascii="Arial" w:hAnsi="Arial"/>
                <w:b w:val="0"/>
                <w:color w:val="1F2937"/>
                <w:sz w:val="16"/>
              </w:rPr>
              <w:t>waarschuwing tegen verhulling door het gemiddelde</w:t>
            </w:r>
          </w:p>
        </w:tc>
      </w:tr>
      <w:tr>
        <w:trPr>
          <w:cantSplit/>
        </w:trPr>
        <w:tc>
          <w:tcPr>
            <w:tcW w:type="dxa" w:w="2835"/>
            <w:vAlign w:val="center"/>
            <w:tcMar>
              <w:top w:w="100" w:type="dxa"/>
              <w:start w:w="110" w:type="dxa"/>
              <w:bottom w:w="100" w:type="dxa"/>
              <w:end w:w="110" w:type="dxa"/>
            </w:tcMar>
          </w:tcPr>
          <w:p>
            <w:pPr>
              <w:jc w:val="left"/>
            </w:pPr>
            <w:r/>
            <w:r>
              <w:rPr>
                <w:rFonts w:ascii="Arial" w:hAnsi="Arial"/>
                <w:b w:val="0"/>
                <w:color w:val="1F2937"/>
                <w:sz w:val="16"/>
              </w:rPr>
              <w:t>Basisinkomensdekking BI</w:t>
            </w:r>
          </w:p>
        </w:tc>
        <w:tc>
          <w:tcPr>
            <w:tcW w:type="dxa" w:w="2268"/>
            <w:vAlign w:val="center"/>
            <w:tcMar>
              <w:top w:w="100" w:type="dxa"/>
              <w:start w:w="110" w:type="dxa"/>
              <w:bottom w:w="100" w:type="dxa"/>
              <w:end w:w="110" w:type="dxa"/>
            </w:tcMar>
          </w:tcPr>
          <w:p>
            <w:pPr>
              <w:jc w:val="left"/>
            </w:pPr>
            <w:r/>
            <w:r>
              <w:rPr>
                <w:rFonts w:ascii="Arial" w:hAnsi="Arial"/>
                <w:b w:val="0"/>
                <w:color w:val="1F2937"/>
                <w:sz w:val="16"/>
              </w:rPr>
              <w:t>percentage</w:t>
            </w:r>
          </w:p>
        </w:tc>
        <w:tc>
          <w:tcPr>
            <w:tcW w:type="dxa" w:w="4365"/>
            <w:vAlign w:val="center"/>
            <w:tcMar>
              <w:top w:w="100" w:type="dxa"/>
              <w:start w:w="110" w:type="dxa"/>
              <w:bottom w:w="100" w:type="dxa"/>
              <w:end w:w="110" w:type="dxa"/>
            </w:tcMar>
          </w:tcPr>
          <w:p>
            <w:pPr>
              <w:jc w:val="left"/>
            </w:pPr>
            <w:r/>
            <w:r>
              <w:rPr>
                <w:rFonts w:ascii="Arial" w:hAnsi="Arial"/>
                <w:b w:val="0"/>
                <w:color w:val="1F2937"/>
                <w:sz w:val="16"/>
              </w:rPr>
              <w:t>aandeel huishoudens dat het minimumbudget kan betalen</w:t>
            </w:r>
          </w:p>
        </w:tc>
      </w:tr>
      <w:tr>
        <w:trPr>
          <w:cantSplit/>
        </w:trPr>
        <w:tc>
          <w:tcPr>
            <w:tcW w:type="dxa" w:w="2835"/>
            <w:vAlign w:val="center"/>
            <w:tcMar>
              <w:top w:w="100" w:type="dxa"/>
              <w:start w:w="110" w:type="dxa"/>
              <w:bottom w:w="100" w:type="dxa"/>
              <w:end w:w="110" w:type="dxa"/>
            </w:tcMar>
            <w:shd w:fill="F3F5F7"/>
          </w:tcPr>
          <w:p>
            <w:pPr>
              <w:jc w:val="left"/>
            </w:pPr>
            <w:r/>
            <w:r>
              <w:rPr>
                <w:rFonts w:ascii="Arial" w:hAnsi="Arial"/>
                <w:b w:val="0"/>
                <w:color w:val="1F2937"/>
                <w:sz w:val="16"/>
              </w:rPr>
              <w:t>Gemiddeld resterend tekort</w:t>
            </w:r>
          </w:p>
        </w:tc>
        <w:tc>
          <w:tcPr>
            <w:tcW w:type="dxa" w:w="2268"/>
            <w:vAlign w:val="center"/>
            <w:tcMar>
              <w:top w:w="100" w:type="dxa"/>
              <w:start w:w="110" w:type="dxa"/>
              <w:bottom w:w="100" w:type="dxa"/>
              <w:end w:w="110" w:type="dxa"/>
            </w:tcMar>
            <w:shd w:fill="F3F5F7"/>
          </w:tcPr>
          <w:p>
            <w:pPr>
              <w:jc w:val="left"/>
            </w:pPr>
            <w:r/>
            <w:r>
              <w:rPr>
                <w:rFonts w:ascii="Arial" w:hAnsi="Arial"/>
                <w:b w:val="0"/>
                <w:color w:val="1F2937"/>
                <w:sz w:val="16"/>
              </w:rPr>
              <w:t>euro per huishouden per maand</w:t>
            </w:r>
          </w:p>
        </w:tc>
        <w:tc>
          <w:tcPr>
            <w:tcW w:type="dxa" w:w="4365"/>
            <w:vAlign w:val="center"/>
            <w:tcMar>
              <w:top w:w="100" w:type="dxa"/>
              <w:start w:w="110" w:type="dxa"/>
              <w:bottom w:w="100" w:type="dxa"/>
              <w:end w:w="110" w:type="dxa"/>
            </w:tcMar>
            <w:shd w:fill="F3F5F7"/>
          </w:tcPr>
          <w:p>
            <w:pPr>
              <w:jc w:val="left"/>
            </w:pPr>
            <w:r/>
            <w:r>
              <w:rPr>
                <w:rFonts w:ascii="Arial" w:hAnsi="Arial"/>
                <w:b w:val="0"/>
                <w:color w:val="1F2937"/>
                <w:sz w:val="16"/>
              </w:rPr>
              <w:t>diepte van het tekort</w:t>
            </w:r>
          </w:p>
        </w:tc>
      </w:tr>
      <w:tr>
        <w:trPr>
          <w:cantSplit/>
        </w:trPr>
        <w:tc>
          <w:tcPr>
            <w:tcW w:type="dxa" w:w="2835"/>
            <w:vAlign w:val="center"/>
            <w:tcMar>
              <w:top w:w="100" w:type="dxa"/>
              <w:start w:w="110" w:type="dxa"/>
              <w:bottom w:w="100" w:type="dxa"/>
              <w:end w:w="110" w:type="dxa"/>
            </w:tcMar>
          </w:tcPr>
          <w:p>
            <w:pPr>
              <w:jc w:val="left"/>
            </w:pPr>
            <w:r/>
            <w:r>
              <w:rPr>
                <w:rFonts w:ascii="Arial" w:hAnsi="Arial"/>
                <w:b w:val="0"/>
                <w:color w:val="1F2937"/>
                <w:sz w:val="16"/>
              </w:rPr>
              <w:t>Gezamenlijke bestaansbasis P</w:t>
            </w:r>
          </w:p>
        </w:tc>
        <w:tc>
          <w:tcPr>
            <w:tcW w:type="dxa" w:w="2268"/>
            <w:vAlign w:val="center"/>
            <w:tcMar>
              <w:top w:w="100" w:type="dxa"/>
              <w:start w:w="110" w:type="dxa"/>
              <w:bottom w:w="100" w:type="dxa"/>
              <w:end w:w="110" w:type="dxa"/>
            </w:tcMar>
          </w:tcPr>
          <w:p>
            <w:pPr>
              <w:jc w:val="left"/>
            </w:pPr>
            <w:r/>
            <w:r>
              <w:rPr>
                <w:rFonts w:ascii="Arial" w:hAnsi="Arial"/>
                <w:b w:val="0"/>
                <w:color w:val="1F2937"/>
                <w:sz w:val="16"/>
              </w:rPr>
              <w:t>percentage</w:t>
            </w:r>
          </w:p>
        </w:tc>
        <w:tc>
          <w:tcPr>
            <w:tcW w:type="dxa" w:w="4365"/>
            <w:vAlign w:val="center"/>
            <w:tcMar>
              <w:top w:w="100" w:type="dxa"/>
              <w:start w:w="110" w:type="dxa"/>
              <w:bottom w:w="100" w:type="dxa"/>
              <w:end w:w="110" w:type="dxa"/>
            </w:tcMar>
          </w:tcPr>
          <w:p>
            <w:pPr>
              <w:jc w:val="left"/>
            </w:pPr>
            <w:r/>
            <w:r>
              <w:rPr>
                <w:rFonts w:ascii="Arial" w:hAnsi="Arial"/>
                <w:b w:val="0"/>
                <w:color w:val="1F2937"/>
                <w:sz w:val="16"/>
              </w:rPr>
              <w:t>aandeel met adequate woning en voldoende inkomen</w:t>
            </w:r>
          </w:p>
        </w:tc>
      </w:tr>
      <w:tr>
        <w:trPr>
          <w:cantSplit/>
        </w:trPr>
        <w:tc>
          <w:tcPr>
            <w:tcW w:type="dxa" w:w="2835"/>
            <w:vAlign w:val="center"/>
            <w:tcMar>
              <w:top w:w="100" w:type="dxa"/>
              <w:start w:w="110" w:type="dxa"/>
              <w:bottom w:w="100" w:type="dxa"/>
              <w:end w:w="110" w:type="dxa"/>
            </w:tcMar>
            <w:shd w:fill="F3F5F7"/>
          </w:tcPr>
          <w:p>
            <w:pPr>
              <w:jc w:val="left"/>
            </w:pPr>
            <w:r/>
            <w:r>
              <w:rPr>
                <w:rFonts w:ascii="Arial" w:hAnsi="Arial"/>
                <w:b w:val="0"/>
                <w:color w:val="1F2937"/>
                <w:sz w:val="16"/>
              </w:rPr>
              <w:t>Bruto beleidskosten</w:t>
            </w:r>
          </w:p>
        </w:tc>
        <w:tc>
          <w:tcPr>
            <w:tcW w:type="dxa" w:w="2268"/>
            <w:vAlign w:val="center"/>
            <w:tcMar>
              <w:top w:w="100" w:type="dxa"/>
              <w:start w:w="110" w:type="dxa"/>
              <w:bottom w:w="100" w:type="dxa"/>
              <w:end w:w="110" w:type="dxa"/>
            </w:tcMar>
            <w:shd w:fill="F3F5F7"/>
          </w:tcPr>
          <w:p>
            <w:pPr>
              <w:jc w:val="left"/>
            </w:pPr>
            <w:r/>
            <w:r>
              <w:rPr>
                <w:rFonts w:ascii="Arial" w:hAnsi="Arial"/>
                <w:b w:val="0"/>
                <w:color w:val="1F2937"/>
                <w:sz w:val="16"/>
              </w:rPr>
              <w:t>euro per jaar</w:t>
            </w:r>
          </w:p>
        </w:tc>
        <w:tc>
          <w:tcPr>
            <w:tcW w:type="dxa" w:w="4365"/>
            <w:vAlign w:val="center"/>
            <w:tcMar>
              <w:top w:w="100" w:type="dxa"/>
              <w:start w:w="110" w:type="dxa"/>
              <w:bottom w:w="100" w:type="dxa"/>
              <w:end w:w="110" w:type="dxa"/>
            </w:tcMar>
            <w:shd w:fill="F3F5F7"/>
          </w:tcPr>
          <w:p>
            <w:pPr>
              <w:jc w:val="left"/>
            </w:pPr>
            <w:r/>
            <w:r>
              <w:rPr>
                <w:rFonts w:ascii="Arial" w:hAnsi="Arial"/>
                <w:b w:val="0"/>
                <w:color w:val="1F2937"/>
                <w:sz w:val="16"/>
              </w:rPr>
              <w:t>totale uitbetalingen</w:t>
            </w:r>
          </w:p>
        </w:tc>
      </w:tr>
      <w:tr>
        <w:trPr>
          <w:cantSplit/>
        </w:trPr>
        <w:tc>
          <w:tcPr>
            <w:tcW w:type="dxa" w:w="2835"/>
            <w:vAlign w:val="center"/>
            <w:tcMar>
              <w:top w:w="100" w:type="dxa"/>
              <w:start w:w="110" w:type="dxa"/>
              <w:bottom w:w="100" w:type="dxa"/>
              <w:end w:w="110" w:type="dxa"/>
            </w:tcMar>
          </w:tcPr>
          <w:p>
            <w:pPr>
              <w:jc w:val="left"/>
            </w:pPr>
            <w:r/>
            <w:r>
              <w:rPr>
                <w:rFonts w:ascii="Arial" w:hAnsi="Arial"/>
                <w:b w:val="0"/>
                <w:color w:val="1F2937"/>
                <w:sz w:val="16"/>
              </w:rPr>
              <w:t>Netto beleidskosten</w:t>
            </w:r>
          </w:p>
        </w:tc>
        <w:tc>
          <w:tcPr>
            <w:tcW w:type="dxa" w:w="2268"/>
            <w:vAlign w:val="center"/>
            <w:tcMar>
              <w:top w:w="100" w:type="dxa"/>
              <w:start w:w="110" w:type="dxa"/>
              <w:bottom w:w="100" w:type="dxa"/>
              <w:end w:w="110" w:type="dxa"/>
            </w:tcMar>
          </w:tcPr>
          <w:p>
            <w:pPr>
              <w:jc w:val="left"/>
            </w:pPr>
            <w:r/>
            <w:r>
              <w:rPr>
                <w:rFonts w:ascii="Arial" w:hAnsi="Arial"/>
                <w:b w:val="0"/>
                <w:color w:val="1F2937"/>
                <w:sz w:val="16"/>
              </w:rPr>
              <w:t>euro per jaar</w:t>
            </w:r>
          </w:p>
        </w:tc>
        <w:tc>
          <w:tcPr>
            <w:tcW w:type="dxa" w:w="4365"/>
            <w:vAlign w:val="center"/>
            <w:tcMar>
              <w:top w:w="100" w:type="dxa"/>
              <w:start w:w="110" w:type="dxa"/>
              <w:bottom w:w="100" w:type="dxa"/>
              <w:end w:w="110" w:type="dxa"/>
            </w:tcMar>
          </w:tcPr>
          <w:p>
            <w:pPr>
              <w:jc w:val="left"/>
            </w:pPr>
            <w:r/>
            <w:r>
              <w:rPr>
                <w:rFonts w:ascii="Arial" w:hAnsi="Arial"/>
                <w:b w:val="0"/>
                <w:color w:val="1F2937"/>
                <w:sz w:val="16"/>
              </w:rPr>
              <w:t>uitbetalingen na expliciete belasting en regelingsaanpassingen</w:t>
            </w:r>
          </w:p>
        </w:tc>
      </w:tr>
    </w:tbl>
    <w:p>
      <w:pPr>
        <w:spacing w:after="20"/>
      </w:pPr>
    </w:p>
    <w:p>
      <w:pPr>
        <w:pStyle w:val="Heading1"/>
      </w:pPr>
      <w:r>
        <w:t>Beperkingen van deze werkversie</w:t>
      </w:r>
    </w:p>
    <w:p>
      <w:r>
        <w:t>Versie 0.1 gebruikt groepsgewijze invoer. Een latere versie kan huishoudens en woningen op individueel of microdataniveau koppelen met een formeel toewijzingsmodel. De huidige methode berekent geen gedragsreacties, zoals veranderingen in arbeidsaanbod, lonen, huren, woningprijzen of migratie. Zulke effecten horen in afzonderlijke scenario’s en mogen niet zonder modelonderbouwing in de uitkomst worden verwerkt.</w:t>
      </w:r>
    </w:p>
    <w:p>
      <w:r>
        <w:t>De methode maakt normatieve keuzes zichtbaar, maar beslist ze niet. De grens voor kwaliteit, het minimumbudget, de reikwijdte van woonzekerheid en de gewenste dekkingsgraad moeten openbaar worden vastgesteld. Deskundigen kunnen de gevolgen berekenen; zij kunnen niet namens de samenleving bepalen welke verdeling aanvaardbaar is.</w:t>
      </w:r>
    </w:p>
    <w:p>
      <w:pPr>
        <w:pStyle w:val="Heading1"/>
      </w:pPr>
      <w:r>
        <w:t>Versiebeheer</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361"/>
            <w:shd w:fill="17324D"/>
            <w:vAlign w:val="center"/>
            <w:tcMar>
              <w:top w:w="100" w:type="dxa"/>
              <w:start w:w="110" w:type="dxa"/>
              <w:bottom w:w="100" w:type="dxa"/>
              <w:end w:w="110" w:type="dxa"/>
            </w:tcMar>
          </w:tcPr>
          <w:p>
            <w:pPr>
              <w:jc w:val="left"/>
            </w:pPr>
            <w:r/>
            <w:r>
              <w:rPr>
                <w:rFonts w:ascii="Arial" w:hAnsi="Arial"/>
                <w:b/>
                <w:color w:val="FFFFFF"/>
                <w:sz w:val="17"/>
              </w:rPr>
              <w:t>Versie</w:t>
            </w:r>
          </w:p>
        </w:tc>
        <w:tc>
          <w:tcPr>
            <w:tcW w:type="dxa" w:w="2154"/>
            <w:shd w:fill="17324D"/>
            <w:vAlign w:val="center"/>
            <w:tcMar>
              <w:top w:w="100" w:type="dxa"/>
              <w:start w:w="110" w:type="dxa"/>
              <w:bottom w:w="100" w:type="dxa"/>
              <w:end w:w="110" w:type="dxa"/>
            </w:tcMar>
          </w:tcPr>
          <w:p>
            <w:pPr>
              <w:jc w:val="left"/>
            </w:pPr>
            <w:r/>
            <w:r>
              <w:rPr>
                <w:rFonts w:ascii="Arial" w:hAnsi="Arial"/>
                <w:b/>
                <w:color w:val="FFFFFF"/>
                <w:sz w:val="17"/>
              </w:rPr>
              <w:t>Datum</w:t>
            </w:r>
          </w:p>
        </w:tc>
        <w:tc>
          <w:tcPr>
            <w:tcW w:type="dxa" w:w="6803"/>
            <w:shd w:fill="17324D"/>
            <w:vAlign w:val="center"/>
            <w:tcMar>
              <w:top w:w="100" w:type="dxa"/>
              <w:start w:w="110" w:type="dxa"/>
              <w:bottom w:w="100" w:type="dxa"/>
              <w:end w:w="110" w:type="dxa"/>
            </w:tcMar>
          </w:tcPr>
          <w:p>
            <w:pPr>
              <w:jc w:val="left"/>
            </w:pPr>
            <w:r/>
            <w:r>
              <w:rPr>
                <w:rFonts w:ascii="Arial" w:hAnsi="Arial"/>
                <w:b/>
                <w:color w:val="FFFFFF"/>
                <w:sz w:val="17"/>
              </w:rPr>
              <w:t>Inhoud</w:t>
            </w:r>
          </w:p>
        </w:tc>
      </w:tr>
      <w:tr>
        <w:trPr>
          <w:cantSplit/>
        </w:trPr>
        <w:tc>
          <w:tcPr>
            <w:tcW w:type="dxa" w:w="1361"/>
            <w:vAlign w:val="center"/>
            <w:tcMar>
              <w:top w:w="100" w:type="dxa"/>
              <w:start w:w="110" w:type="dxa"/>
              <w:bottom w:w="100" w:type="dxa"/>
              <w:end w:w="110" w:type="dxa"/>
            </w:tcMar>
          </w:tcPr>
          <w:p>
            <w:pPr>
              <w:jc w:val="left"/>
            </w:pPr>
            <w:r/>
            <w:r>
              <w:rPr>
                <w:rFonts w:ascii="Arial" w:hAnsi="Arial"/>
                <w:b w:val="0"/>
                <w:color w:val="1F2937"/>
                <w:sz w:val="17"/>
              </w:rPr>
              <w:t>0.1</w:t>
            </w:r>
          </w:p>
        </w:tc>
        <w:tc>
          <w:tcPr>
            <w:tcW w:type="dxa" w:w="2154"/>
            <w:vAlign w:val="center"/>
            <w:tcMar>
              <w:top w:w="100" w:type="dxa"/>
              <w:start w:w="110" w:type="dxa"/>
              <w:bottom w:w="100" w:type="dxa"/>
              <w:end w:w="110" w:type="dxa"/>
            </w:tcMar>
          </w:tcPr>
          <w:p>
            <w:pPr>
              <w:jc w:val="left"/>
            </w:pPr>
            <w:r/>
            <w:r>
              <w:rPr>
                <w:rFonts w:ascii="Arial" w:hAnsi="Arial"/>
                <w:b w:val="0"/>
                <w:color w:val="1F2937"/>
                <w:sz w:val="17"/>
              </w:rPr>
              <w:t>11 september 2026</w:t>
            </w:r>
          </w:p>
        </w:tc>
        <w:tc>
          <w:tcPr>
            <w:tcW w:type="dxa" w:w="6803"/>
            <w:vAlign w:val="center"/>
            <w:tcMar>
              <w:top w:w="100" w:type="dxa"/>
              <w:start w:w="110" w:type="dxa"/>
              <w:bottom w:w="100" w:type="dxa"/>
              <w:end w:w="110" w:type="dxa"/>
            </w:tcMar>
          </w:tcPr>
          <w:p>
            <w:pPr>
              <w:jc w:val="left"/>
            </w:pPr>
            <w:r/>
            <w:r>
              <w:rPr>
                <w:rFonts w:ascii="Arial" w:hAnsi="Arial"/>
                <w:b w:val="0"/>
                <w:color w:val="1F2937"/>
                <w:sz w:val="17"/>
              </w:rPr>
              <w:t>Eerste methode met woningmatching, restinkomen, inkomensdekking, tekort en bruto en netto beleidskosten</w:t>
            </w:r>
          </w:p>
        </w:tc>
      </w:tr>
    </w:tbl>
    <w:p>
      <w:pPr>
        <w:spacing w:after="20"/>
      </w:pPr>
    </w:p>
    <w:p>
      <w:pPr>
        <w:pStyle w:val="Heading1"/>
      </w:pPr>
      <w:r>
        <w:t>Bronnen</w:t>
      </w:r>
    </w:p>
    <w:p>
      <w:pPr>
        <w:pStyle w:val="ListNumber"/>
        <w:spacing w:after="80"/>
      </w:pPr>
      <w:r>
        <w:t xml:space="preserve">Office of the United Nations High Commissioner for Human Rights. </w:t>
      </w:r>
      <w:hyperlink r:id="rId22">
        <w:r>
          <w:rPr>
            <w:color w:val="2F6690"/>
            <w:u w:val="single"/>
          </w:rPr>
          <w:t>The human right to adequate housing</w:t>
        </w:r>
      </w:hyperlink>
    </w:p>
    <w:p>
      <w:pPr>
        <w:pStyle w:val="ListNumber"/>
        <w:spacing w:after="80"/>
      </w:pPr>
      <w:r>
        <w:t xml:space="preserve">Eurostat. </w:t>
      </w:r>
      <w:hyperlink r:id="rId23">
        <w:r>
          <w:rPr>
            <w:color w:val="2F6690"/>
            <w:u w:val="single"/>
          </w:rPr>
          <w:t>Housing cost overburden rate</w:t>
        </w:r>
      </w:hyperlink>
    </w:p>
    <w:p>
      <w:pPr>
        <w:pStyle w:val="ListNumber"/>
        <w:spacing w:after="80"/>
      </w:pPr>
      <w:r>
        <w:t xml:space="preserve">CBS. </w:t>
      </w:r>
      <w:hyperlink r:id="rId24">
        <w:r>
          <w:rPr>
            <w:color w:val="2F6690"/>
            <w:u w:val="single"/>
          </w:rPr>
          <w:t>Wat is genoeg om van te leven</w:t>
        </w:r>
      </w:hyperlink>
    </w:p>
    <w:p>
      <w:pPr>
        <w:pStyle w:val="ListNumber"/>
        <w:spacing w:after="80"/>
      </w:pPr>
      <w:r>
        <w:t xml:space="preserve">Ministerie van Volkshuisvesting en Ruimtelijke Ordening. </w:t>
      </w:r>
      <w:hyperlink r:id="rId25">
        <w:r>
          <w:rPr>
            <w:color w:val="2F6690"/>
            <w:u w:val="single"/>
          </w:rPr>
          <w:t>Kernpublicatie WoonOnderzoek Nederland 2024</w:t>
        </w:r>
      </w:hyperlink>
    </w:p>
    <w:p>
      <w:pPr>
        <w:pStyle w:val="ListNumber"/>
        <w:spacing w:after="80"/>
      </w:pPr>
      <w:r>
        <w:t xml:space="preserve">CBS. </w:t>
      </w:r>
      <w:hyperlink r:id="rId26">
        <w:r>
          <w:rPr>
            <w:color w:val="2F6690"/>
            <w:u w:val="single"/>
          </w:rPr>
          <w:t>Woonbase financieel economisch</w:t>
        </w:r>
      </w:hyperlink>
    </w:p>
    <w:p>
      <w:pPr>
        <w:pStyle w:val="ListNumber"/>
        <w:spacing w:after="80"/>
      </w:pPr>
      <w:r>
        <w:t xml:space="preserve">Kadaster. </w:t>
      </w:r>
      <w:hyperlink r:id="rId27">
        <w:r>
          <w:rPr>
            <w:color w:val="2F6690"/>
            <w:u w:val="single"/>
          </w:rPr>
          <w:t>Basisregistratie Adressen en Gebouwen</w:t>
        </w:r>
      </w:hyperlink>
    </w:p>
    <w:p>
      <w:pPr>
        <w:pStyle w:val="ListNumber"/>
        <w:spacing w:after="80"/>
      </w:pPr>
      <w:r>
        <w:t xml:space="preserve">EP Online. </w:t>
      </w:r>
      <w:hyperlink r:id="rId28">
        <w:r>
          <w:rPr>
            <w:color w:val="2F6690"/>
            <w:u w:val="single"/>
          </w:rPr>
          <w:t>Openbare data energielabels</w:t>
        </w:r>
      </w:hyperlink>
    </w:p>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571"/>
        <w:sz w:val="16"/>
      </w:rPr>
      <w:t xml:space="preserve">Rekenmethode adequate woningvoorraad en basisinkomen   versie 0.1   |   </w:t>
    </w:r>
    <w:r>
      <w:rPr>
        <w:sz w:val="16"/>
      </w:rPr>
      <w:t xml:space="preserve">Pagina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F669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yperlink" Target="https://www.ohchr.org/en/special-procedures/sr-housing/human-right-adequate-housing" TargetMode="External"/><Relationship Id="rId23" Type="http://schemas.openxmlformats.org/officeDocument/2006/relationships/hyperlink" Target="https://ec.europa.eu/eurostat/statistics-explained/index.php?title=Glossary:Housing_cost_overburden_rate" TargetMode="External"/><Relationship Id="rId24" Type="http://schemas.openxmlformats.org/officeDocument/2006/relationships/hyperlink" Target="https://www.cbs.nl/nl-nl/longread/rapportages/2024/wat-is-genoeg-om-van-te-leven-/" TargetMode="External"/><Relationship Id="rId25" Type="http://schemas.openxmlformats.org/officeDocument/2006/relationships/hyperlink" Target="https://www.volkshuisvestingnederland.nl/documenten/2025/04/10/kernpublicatie-van-het-woon-24" TargetMode="External"/><Relationship Id="rId26" Type="http://schemas.openxmlformats.org/officeDocument/2006/relationships/hyperlink" Target="https://www.cbs.nl/nl-nl/onze-diensten/maatwerk-en-microdata/microdata-zelf-onderzoek-doen/maatwerk-microdatabestanden/maatwerk-microdatabestanden/woonbase/woonbase-financieel-economisch" TargetMode="External"/><Relationship Id="rId27" Type="http://schemas.openxmlformats.org/officeDocument/2006/relationships/hyperlink" Target="https://www.kadaster.nl/zakelijk/registraties/basisregistraties/bag/over-bag" TargetMode="External"/><Relationship Id="rId28" Type="http://schemas.openxmlformats.org/officeDocument/2006/relationships/hyperlink" Target="https://www.ep-online.nl/PublicData?menu=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Rekenmethode adequate woningvoorraad en basisinkomen</dc:title>
  <dc:subject>Versie 0.1</dc:subject>
  <dc:creator>ir. Kleo Rem, Dutch Kleo</dc:creator>
  <cp:keywords>adequate woningvoorraad, basisinkomen, woonlasten, bestaanszekerheid, rekenmethode</cp:keywords>
  <dc:description>generated by python-docx</dc:description>
  <cp:lastModifiedBy/>
  <cp:revision>1</cp:revision>
  <dcterms:created xsi:type="dcterms:W3CDTF">2013-12-23T23:15:00Z</dcterms:created>
  <dcterms:modified xsi:type="dcterms:W3CDTF">2013-12-23T23:15:00Z</dcterms:modified>
  <cp:category/>
</cp:coreProperties>
</file>