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sz w:val="40"/>
        </w:rPr>
        <w:t>RELATÓRIO TÉCNICO</w:t>
      </w:r>
    </w:p>
    <w:p>
      <w:pPr>
        <w:spacing w:after="80"/>
        <w:jc w:val="center"/>
      </w:pPr>
      <w:r>
        <w:rPr>
          <w:rFonts w:ascii="Calibri" w:hAnsi="Calibri"/>
          <w:b/>
          <w:i w:val="0"/>
          <w:sz w:val="28"/>
        </w:rPr>
        <w:t>Estruturação do Ambiente Analítico e Projeto Piloto de Exploração de Dados</w:t>
      </w:r>
    </w:p>
    <w:p>
      <w:pPr>
        <w:spacing w:after="400"/>
        <w:jc w:val="center"/>
      </w:pPr>
      <w:r>
        <w:rPr>
          <w:rFonts w:ascii="Calibri" w:hAnsi="Calibri"/>
          <w:b w:val="0"/>
          <w:i/>
          <w:color w:val="555555"/>
          <w:sz w:val="24"/>
        </w:rPr>
        <w:t>Atualização de status</w:t>
      </w:r>
    </w:p>
    <w:p>
      <w:pPr>
        <w:spacing w:after="80"/>
      </w:pPr>
      <w:r>
        <w:rPr>
          <w:rFonts w:ascii="Calibri" w:hAnsi="Calibri"/>
          <w:b/>
          <w:i w:val="0"/>
          <w:sz w:val="22"/>
        </w:rPr>
        <w:t xml:space="preserve">Projeto: </w:t>
      </w:r>
      <w:r>
        <w:rPr>
          <w:rFonts w:ascii="Calibri" w:hAnsi="Calibri"/>
          <w:b w:val="0"/>
          <w:i w:val="0"/>
          <w:sz w:val="22"/>
        </w:rPr>
        <w:t>data_exploration</w:t>
      </w:r>
    </w:p>
    <w:p>
      <w:pPr>
        <w:spacing w:after="80"/>
      </w:pPr>
      <w:r>
        <w:rPr>
          <w:rFonts w:ascii="Calibri" w:hAnsi="Calibri"/>
          <w:b/>
          <w:i w:val="0"/>
          <w:sz w:val="22"/>
        </w:rPr>
        <w:t xml:space="preserve">Diretório local: </w:t>
      </w:r>
      <w:r>
        <w:rPr>
          <w:rFonts w:ascii="Calibri" w:hAnsi="Calibri"/>
          <w:b w:val="0"/>
          <w:i w:val="0"/>
          <w:sz w:val="22"/>
        </w:rPr>
        <w:t>C:\Users\dutra\projects\data_exploration</w:t>
      </w:r>
    </w:p>
    <w:p>
      <w:pPr>
        <w:spacing w:after="80"/>
      </w:pPr>
      <w:r>
        <w:rPr>
          <w:rFonts w:ascii="Calibri" w:hAnsi="Calibri"/>
          <w:b/>
          <w:i w:val="0"/>
          <w:sz w:val="22"/>
        </w:rPr>
        <w:t xml:space="preserve">Responsável técnico: </w:t>
      </w:r>
      <w:r>
        <w:rPr>
          <w:rFonts w:ascii="Calibri" w:hAnsi="Calibri"/>
          <w:b w:val="0"/>
          <w:i w:val="0"/>
          <w:sz w:val="22"/>
        </w:rPr>
        <w:t>Ricardo</w:t>
      </w:r>
    </w:p>
    <w:p>
      <w:pPr>
        <w:spacing w:after="80"/>
      </w:pPr>
      <w:r>
        <w:rPr>
          <w:rFonts w:ascii="Calibri" w:hAnsi="Calibri"/>
          <w:b/>
          <w:i w:val="0"/>
          <w:sz w:val="22"/>
        </w:rPr>
        <w:t xml:space="preserve">Data de referência do relatório original: </w:t>
      </w:r>
      <w:r>
        <w:rPr>
          <w:rFonts w:ascii="Calibri" w:hAnsi="Calibri"/>
          <w:b w:val="0"/>
          <w:i w:val="0"/>
          <w:sz w:val="22"/>
        </w:rPr>
        <w:t>Agosto de 2026</w:t>
      </w:r>
    </w:p>
    <w:p>
      <w:pPr>
        <w:spacing w:after="80"/>
      </w:pPr>
      <w:r>
        <w:rPr>
          <w:rFonts w:ascii="Calibri" w:hAnsi="Calibri"/>
          <w:b/>
          <w:i w:val="0"/>
          <w:sz w:val="22"/>
        </w:rPr>
        <w:t xml:space="preserve">Data desta atualização: </w:t>
      </w:r>
      <w:r>
        <w:rPr>
          <w:rFonts w:ascii="Calibri" w:hAnsi="Calibri"/>
          <w:b w:val="0"/>
          <w:i w:val="0"/>
          <w:sz w:val="22"/>
        </w:rPr>
        <w:t>07 de agosto de 2026</w:t>
      </w:r>
    </w:p>
    <w:p>
      <w:pPr>
        <w:spacing w:after="80"/>
      </w:pPr>
      <w:r>
        <w:rPr>
          <w:rFonts w:ascii="Calibri" w:hAnsi="Calibri"/>
          <w:b/>
          <w:i w:val="0"/>
          <w:sz w:val="22"/>
        </w:rPr>
        <w:t xml:space="preserve">Finalidade do documento: </w:t>
      </w:r>
      <w:r>
        <w:rPr>
          <w:rFonts w:ascii="Calibri" w:hAnsi="Calibri"/>
          <w:b w:val="0"/>
          <w:i w:val="0"/>
          <w:sz w:val="22"/>
        </w:rPr>
        <w:t>Informe técnico à chefia sobre o estado atual do projeto — atualiza o relatório técnico anterior, incorporando a conclusão da fase de execução analítica</w:t>
      </w:r>
    </w:p>
    <w:p>
      <w:pPr>
        <w:pStyle w:val="Heading1"/>
        <w:spacing w:before="320" w:after="160"/>
      </w:pPr>
      <w:r>
        <w:rPr>
          <w:rFonts w:ascii="Calibri" w:hAnsi="Calibri"/>
          <w:color w:val="1F1F1F"/>
        </w:rPr>
        <w:t>1. Introdução e Objetivo</w:t>
      </w:r>
    </w:p>
    <w:p>
      <w:pPr>
        <w:spacing w:after="160"/>
      </w:pPr>
      <w:r>
        <w:rPr>
          <w:rFonts w:ascii="Calibri" w:hAnsi="Calibri"/>
          <w:b w:val="0"/>
          <w:i w:val="0"/>
          <w:sz w:val="22"/>
        </w:rPr>
        <w:t>O presente relatório atualiza o informe técnico anteriormente compartilhado sobre o projeto piloto de análise de dados, com o propósito de validar um ambiente analítico reprodutível e assistido por ferramentas de inteligência artificial para uso corrente na área de dados.</w:t>
      </w:r>
    </w:p>
    <w:p>
      <w:pPr>
        <w:spacing w:after="160"/>
      </w:pPr>
      <w:r>
        <w:rPr>
          <w:rFonts w:ascii="Calibri" w:hAnsi="Calibri"/>
          <w:b w:val="0"/>
          <w:i w:val="0"/>
          <w:sz w:val="22"/>
        </w:rPr>
        <w:t>O relatório original documentou a fase de estruturação do ambiente técnico. Desde então, a fase de execução analítica foi concluída: as seis análises exploratórias planejadas foram executadas, revisadas e aprovadas, e um relatório consolidado de achados foi produzido. Este documento atualiza o estado de cada etapa, descreve os achados obtidos, registra os incidentes técnicos ocorridos no período e revisa as pendências e próximos passos.</w:t>
      </w:r>
    </w:p>
    <w:p>
      <w:pPr>
        <w:pStyle w:val="Heading1"/>
        <w:spacing w:before="320" w:after="160"/>
      </w:pPr>
      <w:r>
        <w:rPr>
          <w:rFonts w:ascii="Calibri" w:hAnsi="Calibri"/>
          <w:color w:val="1F1F1F"/>
        </w:rPr>
        <w:t>2. Escopo do Projeto Piloto</w:t>
      </w:r>
    </w:p>
    <w:p>
      <w:pPr>
        <w:spacing w:after="160"/>
      </w:pPr>
      <w:r>
        <w:rPr>
          <w:rFonts w:ascii="Calibri" w:hAnsi="Calibri"/>
          <w:b w:val="0"/>
          <w:i w:val="0"/>
          <w:sz w:val="22"/>
        </w:rPr>
        <w:t>Sem alterações em relação ao relatório original. O escopo permanece:</w:t>
      </w:r>
    </w:p>
    <w:p>
      <w:pPr>
        <w:pStyle w:val="ListBullet"/>
        <w:spacing w:after="80"/>
      </w:pPr>
      <w:r>
        <w:rPr>
          <w:rFonts w:ascii="Calibri" w:hAnsi="Calibri"/>
          <w:b w:val="0"/>
          <w:i w:val="0"/>
          <w:sz w:val="22"/>
        </w:rPr>
        <w:t>Estruturação de um ambiente Python isolado e reprodutível, com controle de versões de dependências;</w:t>
      </w:r>
    </w:p>
    <w:p>
      <w:pPr>
        <w:pStyle w:val="ListBullet"/>
        <w:spacing w:after="80"/>
      </w:pPr>
      <w:r>
        <w:rPr>
          <w:rFonts w:ascii="Calibri" w:hAnsi="Calibri"/>
          <w:b w:val="0"/>
          <w:i w:val="0"/>
          <w:sz w:val="22"/>
        </w:rPr>
        <w:t>Integração de duas ferramentas de desenvolvimento assistido por IA (Cursor e Claude Code), operando sobre a mesma base de arquivos;</w:t>
      </w:r>
    </w:p>
    <w:p>
      <w:pPr>
        <w:pStyle w:val="ListBullet"/>
        <w:spacing w:after="80"/>
      </w:pPr>
      <w:r>
        <w:rPr>
          <w:rFonts w:ascii="Calibri" w:hAnsi="Calibri"/>
          <w:b w:val="0"/>
          <w:i w:val="0"/>
          <w:sz w:val="22"/>
        </w:rPr>
        <w:t>Exploração de uma base de dados corporativa real (extrato de dados do SIAPE) como caso de uso de validação;</w:t>
      </w:r>
    </w:p>
    <w:p>
      <w:pPr>
        <w:pStyle w:val="ListBullet"/>
        <w:spacing w:after="80"/>
      </w:pPr>
      <w:r>
        <w:rPr>
          <w:rFonts w:ascii="Calibri" w:hAnsi="Calibri"/>
          <w:b w:val="0"/>
          <w:i w:val="0"/>
          <w:sz w:val="22"/>
        </w:rPr>
        <w:t>Geração de relatórios analíticos como entregável do piloto.</w:t>
      </w:r>
    </w:p>
    <w:p>
      <w:pPr>
        <w:pStyle w:val="Heading1"/>
        <w:spacing w:before="320" w:after="160"/>
      </w:pPr>
      <w:r>
        <w:rPr>
          <w:rFonts w:ascii="Calibri" w:hAnsi="Calibri"/>
          <w:color w:val="1F1F1F"/>
        </w:rPr>
        <w:t>3. Decisões Técnicas de Arquitetura</w:t>
      </w:r>
    </w:p>
    <w:p>
      <w:pPr>
        <w:spacing w:after="160"/>
      </w:pPr>
      <w:r>
        <w:rPr>
          <w:rFonts w:ascii="Calibri" w:hAnsi="Calibri"/>
          <w:b w:val="0"/>
          <w:i w:val="0"/>
          <w:sz w:val="22"/>
        </w:rPr>
        <w:t>As decisões registradas no relatório original (gerenciador de ambiente uv, layout simples de projeto, contexto operacional padronizado via CLAUDE.md) permanecem válidas e não sofreram revisão. Um ponto foi confirmado na prática ao longo da fase de execução analítica:</w:t>
      </w:r>
    </w:p>
    <w:p>
      <w:pPr>
        <w:pStyle w:val="Heading2"/>
        <w:spacing w:before="320" w:after="160"/>
      </w:pPr>
      <w:r>
        <w:rPr>
          <w:rFonts w:ascii="Calibri" w:hAnsi="Calibri"/>
          <w:color w:val="1F1F1F"/>
        </w:rPr>
        <w:t>3.1. Divisão de papéis entre ferramentas de IA — confirmada em uso</w:t>
      </w:r>
    </w:p>
    <w:p>
      <w:pPr>
        <w:spacing w:after="160"/>
      </w:pPr>
      <w:r>
        <w:rPr>
          <w:rFonts w:ascii="Calibri" w:hAnsi="Calibri"/>
          <w:b w:val="0"/>
          <w:i w:val="0"/>
          <w:sz w:val="22"/>
        </w:rPr>
        <w:t>O princípio definido no relatório original — evitar a operação simultânea de mais de um agente de IA sobre os mesmos arquivos, adotando o Claude Code como executor principal das tarefas analíticas e o Cursor como camada de revisão visual — foi efetivamente seguido durante a execução das análises. Ao alternar entre sessões de trabalho, cada sessão foi encerrada sem edições pendentes em notebooks ou relatórios antes do início da seguinte, e o contexto relevante de cada sessão foi registrado em arquivo (não apenas mantido na janela de contexto da conversa), de modo a ficar disponível para a continuidade do trabalho em outra sessão ou instância.</w:t>
      </w:r>
    </w:p>
    <w:p>
      <w:pPr>
        <w:pStyle w:val="Heading1"/>
        <w:spacing w:before="320" w:after="160"/>
      </w:pPr>
      <w:r>
        <w:rPr>
          <w:rFonts w:ascii="Calibri" w:hAnsi="Calibri"/>
          <w:color w:val="1F1F1F"/>
        </w:rPr>
        <w:t>4. Procedimentos Executados</w:t>
      </w:r>
    </w:p>
    <w:p>
      <w:pPr>
        <w:spacing w:after="160"/>
      </w:pPr>
      <w:r>
        <w:rPr>
          <w:rFonts w:ascii="Calibri" w:hAnsi="Calibri"/>
          <w:b w:val="0"/>
          <w:i w:val="0"/>
          <w:sz w:val="22"/>
        </w:rPr>
        <w:t>A tabela a seguir atualiza a síntese das etapas de configuração e execução, substituindo a versão anterior. As linhas alteradas em relação ao relatório original estão marcadas como concluídas; linhas novas refletem trabalho realizado após aquele relatório.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969"/>
            <w:shd w:val="clear" w:color="auto" w:fill="D9D9D9"/>
          </w:tcPr>
          <w:p>
            <w:r>
              <w:rPr>
                <w:rFonts w:ascii="Calibri" w:hAnsi="Calibri"/>
                <w:b/>
                <w:i w:val="0"/>
                <w:sz w:val="20"/>
              </w:rPr>
              <w:t>Etapa</w:t>
            </w:r>
          </w:p>
        </w:tc>
        <w:tc>
          <w:tcPr>
            <w:tcW w:type="dxa" w:w="1587"/>
            <w:shd w:val="clear" w:color="auto" w:fill="D9D9D9"/>
          </w:tcPr>
          <w:p>
            <w:r>
              <w:rPr>
                <w:rFonts w:ascii="Calibri" w:hAnsi="Calibri"/>
                <w:b/>
                <w:i w:val="0"/>
                <w:sz w:val="20"/>
              </w:rPr>
              <w:t>Status</w:t>
            </w:r>
          </w:p>
        </w:tc>
        <w:tc>
          <w:tcPr>
            <w:tcW w:type="dxa" w:w="3515"/>
            <w:shd w:val="clear" w:color="auto" w:fill="D9D9D9"/>
          </w:tcPr>
          <w:p>
            <w:r>
              <w:rPr>
                <w:rFonts w:ascii="Calibri" w:hAnsi="Calibri"/>
                <w:b/>
                <w:i w:val="0"/>
                <w:sz w:val="20"/>
              </w:rPr>
              <w:t>Observação</w:t>
            </w:r>
          </w:p>
        </w:tc>
      </w:tr>
      <w:tr>
        <w:tc>
          <w:tcPr>
            <w:tcW w:type="dxa" w:w="3969"/>
          </w:tcPr>
          <w:p>
            <w:r>
              <w:rPr>
                <w:rFonts w:ascii="Calibri" w:hAnsi="Calibri"/>
                <w:b w:val="0"/>
                <w:i w:val="0"/>
                <w:sz w:val="20"/>
              </w:rPr>
              <w:t>Instalação do uv</w:t>
            </w:r>
          </w:p>
        </w:tc>
        <w:tc>
          <w:tcPr>
            <w:tcW w:type="dxa" w:w="1587"/>
          </w:tcPr>
          <w:p>
            <w:r>
              <w:rPr>
                <w:rFonts w:ascii="Calibri" w:hAnsi="Calibri"/>
                <w:b w:val="0"/>
                <w:i w:val="0"/>
                <w:sz w:val="20"/>
              </w:rPr>
              <w:t>Concluído</w:t>
            </w:r>
          </w:p>
        </w:tc>
        <w:tc>
          <w:tcPr>
            <w:tcW w:type="dxa" w:w="3515"/>
          </w:tcPr>
          <w:p>
            <w:r>
              <w:rPr>
                <w:rFonts w:ascii="Calibri" w:hAnsi="Calibri"/>
                <w:b w:val="0"/>
                <w:i w:val="0"/>
                <w:sz w:val="20"/>
              </w:rPr>
              <w:t>Ferramenta instalada e validada em ambiente Windows</w:t>
            </w:r>
          </w:p>
        </w:tc>
      </w:tr>
      <w:tr>
        <w:tc>
          <w:tcPr>
            <w:tcW w:type="dxa" w:w="3969"/>
          </w:tcPr>
          <w:p>
            <w:r>
              <w:rPr>
                <w:rFonts w:ascii="Calibri" w:hAnsi="Calibri"/>
                <w:b w:val="0"/>
                <w:i w:val="0"/>
                <w:sz w:val="20"/>
              </w:rPr>
              <w:t>Inicialização do projeto</w:t>
            </w:r>
          </w:p>
        </w:tc>
        <w:tc>
          <w:tcPr>
            <w:tcW w:type="dxa" w:w="1587"/>
          </w:tcPr>
          <w:p>
            <w:r>
              <w:rPr>
                <w:rFonts w:ascii="Calibri" w:hAnsi="Calibri"/>
                <w:b w:val="0"/>
                <w:i w:val="0"/>
                <w:sz w:val="20"/>
              </w:rPr>
              <w:t>Concluído</w:t>
            </w:r>
          </w:p>
        </w:tc>
        <w:tc>
          <w:tcPr>
            <w:tcW w:type="dxa" w:w="3515"/>
          </w:tcPr>
          <w:p>
            <w:r>
              <w:rPr>
                <w:rFonts w:ascii="Calibri" w:hAnsi="Calibri"/>
                <w:b w:val="0"/>
                <w:i w:val="0"/>
                <w:sz w:val="20"/>
              </w:rPr>
              <w:t>Estrutura criada em C:\Users\dutra\projects\data_exploration</w:t>
            </w:r>
          </w:p>
        </w:tc>
      </w:tr>
      <w:tr>
        <w:tc>
          <w:tcPr>
            <w:tcW w:type="dxa" w:w="3969"/>
          </w:tcPr>
          <w:p>
            <w:r>
              <w:rPr>
                <w:rFonts w:ascii="Calibri" w:hAnsi="Calibri"/>
                <w:b w:val="0"/>
                <w:i w:val="0"/>
                <w:sz w:val="20"/>
              </w:rPr>
              <w:t>Fixação da versão do Python</w:t>
            </w:r>
          </w:p>
        </w:tc>
        <w:tc>
          <w:tcPr>
            <w:tcW w:type="dxa" w:w="1587"/>
          </w:tcPr>
          <w:p>
            <w:r>
              <w:rPr>
                <w:rFonts w:ascii="Calibri" w:hAnsi="Calibri"/>
                <w:b w:val="0"/>
                <w:i w:val="0"/>
                <w:sz w:val="20"/>
              </w:rPr>
              <w:t>Concluído</w:t>
            </w:r>
          </w:p>
        </w:tc>
        <w:tc>
          <w:tcPr>
            <w:tcW w:type="dxa" w:w="3515"/>
          </w:tcPr>
          <w:p>
            <w:r>
              <w:rPr>
                <w:rFonts w:ascii="Calibri" w:hAnsi="Calibri"/>
                <w:b w:val="0"/>
                <w:i w:val="0"/>
                <w:sz w:val="20"/>
              </w:rPr>
              <w:t>Python 3.13 definido como padrão do projeto</w:t>
            </w:r>
          </w:p>
        </w:tc>
      </w:tr>
      <w:tr>
        <w:tc>
          <w:tcPr>
            <w:tcW w:type="dxa" w:w="3969"/>
          </w:tcPr>
          <w:p>
            <w:r>
              <w:rPr>
                <w:rFonts w:ascii="Calibri" w:hAnsi="Calibri"/>
                <w:b w:val="0"/>
                <w:i w:val="0"/>
                <w:sz w:val="20"/>
              </w:rPr>
              <w:t>Instalação de dependências analíticas</w:t>
            </w:r>
          </w:p>
        </w:tc>
        <w:tc>
          <w:tcPr>
            <w:tcW w:type="dxa" w:w="1587"/>
          </w:tcPr>
          <w:p>
            <w:r>
              <w:rPr>
                <w:rFonts w:ascii="Calibri" w:hAnsi="Calibri"/>
                <w:b w:val="0"/>
                <w:i w:val="0"/>
                <w:sz w:val="20"/>
              </w:rPr>
              <w:t>Concluído</w:t>
            </w:r>
          </w:p>
        </w:tc>
        <w:tc>
          <w:tcPr>
            <w:tcW w:type="dxa" w:w="3515"/>
          </w:tcPr>
          <w:p>
            <w:r>
              <w:rPr>
                <w:rFonts w:ascii="Calibri" w:hAnsi="Calibri"/>
                <w:b w:val="0"/>
                <w:i w:val="0"/>
                <w:sz w:val="20"/>
              </w:rPr>
              <w:t>pandas, numpy, matplotlib, seaborn, jupyter, openpyxl</w:t>
            </w:r>
          </w:p>
        </w:tc>
      </w:tr>
      <w:tr>
        <w:tc>
          <w:tcPr>
            <w:tcW w:type="dxa" w:w="3969"/>
          </w:tcPr>
          <w:p>
            <w:r>
              <w:rPr>
                <w:rFonts w:ascii="Calibri" w:hAnsi="Calibri"/>
                <w:b w:val="0"/>
                <w:i w:val="0"/>
                <w:sz w:val="20"/>
              </w:rPr>
              <w:t>Instalação de dependências de desenvolvimento</w:t>
            </w:r>
          </w:p>
        </w:tc>
        <w:tc>
          <w:tcPr>
            <w:tcW w:type="dxa" w:w="1587"/>
          </w:tcPr>
          <w:p>
            <w:r>
              <w:rPr>
                <w:rFonts w:ascii="Calibri" w:hAnsi="Calibri"/>
                <w:b w:val="0"/>
                <w:i w:val="0"/>
                <w:sz w:val="20"/>
              </w:rPr>
              <w:t>Concluído</w:t>
            </w:r>
          </w:p>
        </w:tc>
        <w:tc>
          <w:tcPr>
            <w:tcW w:type="dxa" w:w="3515"/>
          </w:tcPr>
          <w:p>
            <w:r>
              <w:rPr>
                <w:rFonts w:ascii="Calibri" w:hAnsi="Calibri"/>
                <w:b w:val="0"/>
                <w:i w:val="0"/>
                <w:sz w:val="20"/>
              </w:rPr>
              <w:t>ruff, pytest, ipykernel</w:t>
            </w:r>
          </w:p>
        </w:tc>
      </w:tr>
      <w:tr>
        <w:tc>
          <w:tcPr>
            <w:tcW w:type="dxa" w:w="3969"/>
          </w:tcPr>
          <w:p>
            <w:r>
              <w:rPr>
                <w:rFonts w:ascii="Calibri" w:hAnsi="Calibri"/>
                <w:b w:val="0"/>
                <w:i w:val="0"/>
                <w:sz w:val="20"/>
              </w:rPr>
              <w:t>Geração de trava de dependências</w:t>
            </w:r>
          </w:p>
        </w:tc>
        <w:tc>
          <w:tcPr>
            <w:tcW w:type="dxa" w:w="1587"/>
          </w:tcPr>
          <w:p>
            <w:r>
              <w:rPr>
                <w:rFonts w:ascii="Calibri" w:hAnsi="Calibri"/>
                <w:b w:val="0"/>
                <w:i w:val="0"/>
                <w:sz w:val="20"/>
              </w:rPr>
              <w:t>Concluído</w:t>
            </w:r>
          </w:p>
        </w:tc>
        <w:tc>
          <w:tcPr>
            <w:tcW w:type="dxa" w:w="3515"/>
          </w:tcPr>
          <w:p>
            <w:r>
              <w:rPr>
                <w:rFonts w:ascii="Calibri" w:hAnsi="Calibri"/>
                <w:b w:val="0"/>
                <w:i w:val="0"/>
                <w:sz w:val="20"/>
              </w:rPr>
              <w:t>uv.lock gerado; reprodutibilidade garantida</w:t>
            </w:r>
          </w:p>
        </w:tc>
      </w:tr>
      <w:tr>
        <w:tc>
          <w:tcPr>
            <w:tcW w:type="dxa" w:w="3969"/>
          </w:tcPr>
          <w:p>
            <w:r>
              <w:rPr>
                <w:rFonts w:ascii="Calibri" w:hAnsi="Calibri"/>
                <w:b w:val="0"/>
                <w:i w:val="0"/>
                <w:sz w:val="20"/>
              </w:rPr>
              <w:t>Inicialização de controle de versão</w:t>
            </w:r>
          </w:p>
        </w:tc>
        <w:tc>
          <w:tcPr>
            <w:tcW w:type="dxa" w:w="1587"/>
          </w:tcPr>
          <w:p>
            <w:r>
              <w:rPr>
                <w:rFonts w:ascii="Calibri" w:hAnsi="Calibri"/>
                <w:b w:val="0"/>
                <w:i w:val="0"/>
                <w:sz w:val="20"/>
              </w:rPr>
              <w:t>Concluído</w:t>
            </w:r>
          </w:p>
        </w:tc>
        <w:tc>
          <w:tcPr>
            <w:tcW w:type="dxa" w:w="3515"/>
          </w:tcPr>
          <w:p>
            <w:r>
              <w:rPr>
                <w:rFonts w:ascii="Calibri" w:hAnsi="Calibri"/>
                <w:b w:val="0"/>
                <w:i w:val="0"/>
                <w:sz w:val="20"/>
              </w:rPr>
              <w:t>Repositório Git local; .gitignore ajustado</w:t>
            </w:r>
          </w:p>
        </w:tc>
      </w:tr>
      <w:tr>
        <w:tc>
          <w:tcPr>
            <w:tcW w:type="dxa" w:w="3969"/>
          </w:tcPr>
          <w:p>
            <w:r>
              <w:rPr>
                <w:rFonts w:ascii="Calibri" w:hAnsi="Calibri"/>
                <w:b w:val="0"/>
                <w:i w:val="0"/>
                <w:sz w:val="20"/>
              </w:rPr>
              <w:t>Definição da estrutura de diretórios</w:t>
            </w:r>
          </w:p>
        </w:tc>
        <w:tc>
          <w:tcPr>
            <w:tcW w:type="dxa" w:w="1587"/>
          </w:tcPr>
          <w:p>
            <w:r>
              <w:rPr>
                <w:rFonts w:ascii="Calibri" w:hAnsi="Calibri"/>
                <w:b w:val="0"/>
                <w:i w:val="0"/>
                <w:sz w:val="20"/>
              </w:rPr>
              <w:t>Concluído</w:t>
            </w:r>
          </w:p>
        </w:tc>
        <w:tc>
          <w:tcPr>
            <w:tcW w:type="dxa" w:w="3515"/>
          </w:tcPr>
          <w:p>
            <w:r>
              <w:rPr>
                <w:rFonts w:ascii="Calibri" w:hAnsi="Calibri"/>
                <w:b w:val="0"/>
                <w:i w:val="0"/>
                <w:sz w:val="20"/>
              </w:rPr>
              <w:t>data/, notebooks/, src/, reports/, tests/</w:t>
            </w:r>
          </w:p>
        </w:tc>
      </w:tr>
      <w:tr>
        <w:tc>
          <w:tcPr>
            <w:tcW w:type="dxa" w:w="3969"/>
          </w:tcPr>
          <w:p>
            <w:r>
              <w:rPr>
                <w:rFonts w:ascii="Calibri" w:hAnsi="Calibri"/>
                <w:b w:val="0"/>
                <w:i w:val="0"/>
                <w:sz w:val="20"/>
              </w:rPr>
              <w:t>Criação do arquivo de contexto (CLAUDE.md)</w:t>
            </w:r>
          </w:p>
        </w:tc>
        <w:tc>
          <w:tcPr>
            <w:tcW w:type="dxa" w:w="1587"/>
          </w:tcPr>
          <w:p>
            <w:r>
              <w:rPr>
                <w:rFonts w:ascii="Calibri" w:hAnsi="Calibri"/>
                <w:b w:val="0"/>
                <w:i w:val="0"/>
                <w:sz w:val="20"/>
              </w:rPr>
              <w:t>Concluído</w:t>
            </w:r>
          </w:p>
        </w:tc>
        <w:tc>
          <w:tcPr>
            <w:tcW w:type="dxa" w:w="3515"/>
          </w:tcPr>
          <w:p>
            <w:r>
              <w:rPr>
                <w:rFonts w:ascii="Calibri" w:hAnsi="Calibri"/>
                <w:b w:val="0"/>
                <w:i w:val="0"/>
                <w:sz w:val="20"/>
              </w:rPr>
              <w:t>Recriado em UTF-8 após incidente de codificação</w:t>
            </w:r>
          </w:p>
        </w:tc>
      </w:tr>
      <w:tr>
        <w:tc>
          <w:tcPr>
            <w:tcW w:type="dxa" w:w="3969"/>
          </w:tcPr>
          <w:p>
            <w:r>
              <w:rPr>
                <w:rFonts w:ascii="Calibri" w:hAnsi="Calibri"/>
                <w:b w:val="0"/>
                <w:i w:val="0"/>
                <w:sz w:val="20"/>
              </w:rPr>
              <w:t>Resolução de conflito de ambientes (Conda × uv)</w:t>
            </w:r>
          </w:p>
        </w:tc>
        <w:tc>
          <w:tcPr>
            <w:tcW w:type="dxa" w:w="1587"/>
          </w:tcPr>
          <w:p>
            <w:r>
              <w:rPr>
                <w:rFonts w:ascii="Calibri" w:hAnsi="Calibri"/>
                <w:b w:val="0"/>
                <w:i w:val="0"/>
                <w:sz w:val="20"/>
              </w:rPr>
              <w:t>Concluído</w:t>
            </w:r>
          </w:p>
        </w:tc>
        <w:tc>
          <w:tcPr>
            <w:tcW w:type="dxa" w:w="3515"/>
          </w:tcPr>
          <w:p>
            <w:r>
              <w:rPr>
                <w:rFonts w:ascii="Calibri" w:hAnsi="Calibri"/>
                <w:b w:val="0"/>
                <w:i w:val="0"/>
                <w:sz w:val="20"/>
              </w:rPr>
              <w:t>Auto-ativação do Conda desabilitada em nível de usuário</w:t>
            </w:r>
          </w:p>
        </w:tc>
      </w:tr>
      <w:tr>
        <w:tc>
          <w:tcPr>
            <w:tcW w:type="dxa" w:w="3969"/>
          </w:tcPr>
          <w:p>
            <w:r>
              <w:rPr>
                <w:rFonts w:ascii="Calibri" w:hAnsi="Calibri"/>
                <w:b w:val="0"/>
                <w:i w:val="0"/>
                <w:sz w:val="20"/>
              </w:rPr>
              <w:t>Integração com o Cursor</w:t>
            </w:r>
          </w:p>
        </w:tc>
        <w:tc>
          <w:tcPr>
            <w:tcW w:type="dxa" w:w="1587"/>
          </w:tcPr>
          <w:p>
            <w:r>
              <w:rPr>
                <w:rFonts w:ascii="Calibri" w:hAnsi="Calibri"/>
                <w:b w:val="0"/>
                <w:i w:val="0"/>
                <w:sz w:val="20"/>
              </w:rPr>
              <w:t>Concluído</w:t>
            </w:r>
          </w:p>
        </w:tc>
        <w:tc>
          <w:tcPr>
            <w:tcW w:type="dxa" w:w="3515"/>
          </w:tcPr>
          <w:p>
            <w:r>
              <w:rPr>
                <w:rFonts w:ascii="Calibri" w:hAnsi="Calibri"/>
                <w:b w:val="0"/>
                <w:i w:val="0"/>
                <w:sz w:val="20"/>
              </w:rPr>
              <w:t>Projeto aberto; interpretador do .venv selecionado</w:t>
            </w:r>
          </w:p>
        </w:tc>
      </w:tr>
      <w:tr>
        <w:tc>
          <w:tcPr>
            <w:tcW w:type="dxa" w:w="3969"/>
          </w:tcPr>
          <w:p>
            <w:r>
              <w:rPr>
                <w:rFonts w:ascii="Calibri" w:hAnsi="Calibri"/>
                <w:b w:val="0"/>
                <w:i w:val="0"/>
                <w:sz w:val="20"/>
              </w:rPr>
              <w:t>Instalação e autenticação do Claude Code</w:t>
            </w:r>
          </w:p>
        </w:tc>
        <w:tc>
          <w:tcPr>
            <w:tcW w:type="dxa" w:w="1587"/>
          </w:tcPr>
          <w:p>
            <w:r>
              <w:rPr>
                <w:rFonts w:ascii="Calibri" w:hAnsi="Calibri"/>
                <w:b w:val="0"/>
                <w:i w:val="0"/>
                <w:sz w:val="20"/>
              </w:rPr>
              <w:t>Concluído</w:t>
            </w:r>
          </w:p>
        </w:tc>
        <w:tc>
          <w:tcPr>
            <w:tcW w:type="dxa" w:w="3515"/>
          </w:tcPr>
          <w:p>
            <w:r>
              <w:rPr>
                <w:rFonts w:ascii="Calibri" w:hAnsi="Calibri"/>
                <w:b w:val="0"/>
                <w:i w:val="0"/>
                <w:sz w:val="20"/>
              </w:rPr>
              <w:t>Login via assinatura Claude Pro, autorização OAuth</w:t>
            </w:r>
          </w:p>
        </w:tc>
      </w:tr>
      <w:tr>
        <w:tc>
          <w:tcPr>
            <w:tcW w:type="dxa" w:w="3969"/>
          </w:tcPr>
          <w:p>
            <w:r>
              <w:rPr>
                <w:rFonts w:ascii="Calibri" w:hAnsi="Calibri"/>
                <w:b w:val="0"/>
                <w:i w:val="0"/>
                <w:sz w:val="20"/>
              </w:rPr>
              <w:t>Validação técnica do ambiente</w:t>
            </w:r>
          </w:p>
        </w:tc>
        <w:tc>
          <w:tcPr>
            <w:tcW w:type="dxa" w:w="1587"/>
          </w:tcPr>
          <w:p>
            <w:r>
              <w:rPr>
                <w:rFonts w:ascii="Calibri" w:hAnsi="Calibri"/>
                <w:b w:val="0"/>
                <w:i w:val="0"/>
                <w:sz w:val="20"/>
              </w:rPr>
              <w:t>Concluído</w:t>
            </w:r>
          </w:p>
        </w:tc>
        <w:tc>
          <w:tcPr>
            <w:tcW w:type="dxa" w:w="3515"/>
          </w:tcPr>
          <w:p>
            <w:r>
              <w:rPr>
                <w:rFonts w:ascii="Calibri" w:hAnsi="Calibri"/>
                <w:b w:val="0"/>
                <w:i w:val="0"/>
                <w:sz w:val="20"/>
              </w:rPr>
              <w:t>Importação de bibliotecas confirmada via uv run</w:t>
            </w:r>
          </w:p>
        </w:tc>
      </w:tr>
      <w:tr>
        <w:tc>
          <w:tcPr>
            <w:tcW w:type="dxa" w:w="3969"/>
          </w:tcPr>
          <w:p>
            <w:r>
              <w:rPr>
                <w:rFonts w:ascii="Calibri" w:hAnsi="Calibri"/>
                <w:b w:val="0"/>
                <w:i w:val="0"/>
                <w:sz w:val="20"/>
              </w:rPr>
              <w:t>Definição de fluxo multi-ferramenta</w:t>
            </w:r>
          </w:p>
        </w:tc>
        <w:tc>
          <w:tcPr>
            <w:tcW w:type="dxa" w:w="1587"/>
          </w:tcPr>
          <w:p>
            <w:r>
              <w:rPr>
                <w:rFonts w:ascii="Calibri" w:hAnsi="Calibri"/>
                <w:b w:val="0"/>
                <w:i w:val="0"/>
                <w:sz w:val="20"/>
              </w:rPr>
              <w:t>Concluído</w:t>
            </w:r>
          </w:p>
        </w:tc>
        <w:tc>
          <w:tcPr>
            <w:tcW w:type="dxa" w:w="3515"/>
          </w:tcPr>
          <w:p>
            <w:r>
              <w:rPr>
                <w:rFonts w:ascii="Calibri" w:hAnsi="Calibri"/>
                <w:b w:val="0"/>
                <w:i w:val="0"/>
                <w:sz w:val="20"/>
              </w:rPr>
              <w:t>Papéis definidos entre Claude Code, Cursor e Claude (chat); aplicado na prática ao longo do piloto</w:t>
            </w:r>
          </w:p>
        </w:tc>
      </w:tr>
      <w:tr>
        <w:tc>
          <w:tcPr>
            <w:tcW w:type="dxa" w:w="3969"/>
          </w:tcPr>
          <w:p>
            <w:r>
              <w:rPr>
                <w:rFonts w:ascii="Calibri" w:hAnsi="Calibri"/>
                <w:b w:val="0"/>
                <w:i w:val="0"/>
                <w:sz w:val="20"/>
              </w:rPr>
              <w:t>Ingestão da base de dados (SIAPE)</w:t>
            </w:r>
          </w:p>
        </w:tc>
        <w:tc>
          <w:tcPr>
            <w:tcW w:type="dxa" w:w="1587"/>
          </w:tcPr>
          <w:p>
            <w:r>
              <w:rPr>
                <w:rFonts w:ascii="Calibri" w:hAnsi="Calibri"/>
                <w:b w:val="0"/>
                <w:i w:val="0"/>
                <w:sz w:val="20"/>
              </w:rPr>
              <w:t>Concluído</w:t>
            </w:r>
          </w:p>
        </w:tc>
        <w:tc>
          <w:tcPr>
            <w:tcW w:type="dxa" w:w="3515"/>
          </w:tcPr>
          <w:p>
            <w:r>
              <w:rPr>
                <w:rFonts w:ascii="Calibri" w:hAnsi="Calibri"/>
                <w:b w:val="0"/>
                <w:i w:val="0"/>
                <w:sz w:val="20"/>
              </w:rPr>
              <w:t>Base copiada para data/raw/; arquivo renomeado após incidente de bloqueio pelo antivírus (seção 6)</w:t>
            </w:r>
          </w:p>
        </w:tc>
      </w:tr>
      <w:tr>
        <w:tc>
          <w:tcPr>
            <w:tcW w:type="dxa" w:w="3969"/>
          </w:tcPr>
          <w:p>
            <w:r>
              <w:rPr>
                <w:rFonts w:ascii="Calibri" w:hAnsi="Calibri"/>
                <w:b w:val="0"/>
                <w:i w:val="0"/>
                <w:sz w:val="20"/>
              </w:rPr>
              <w:t>Criação de módulo compartilhado de visualização e privacidade</w:t>
            </w:r>
          </w:p>
        </w:tc>
        <w:tc>
          <w:tcPr>
            <w:tcW w:type="dxa" w:w="1587"/>
          </w:tcPr>
          <w:p>
            <w:r>
              <w:rPr>
                <w:rFonts w:ascii="Calibri" w:hAnsi="Calibri"/>
                <w:b w:val="0"/>
                <w:i w:val="0"/>
                <w:sz w:val="20"/>
              </w:rPr>
              <w:t>Concluído</w:t>
            </w:r>
          </w:p>
        </w:tc>
        <w:tc>
          <w:tcPr>
            <w:tcW w:type="dxa" w:w="3515"/>
          </w:tcPr>
          <w:p>
            <w:r>
              <w:rPr>
                <w:rFonts w:ascii="Calibri" w:hAnsi="Calibri"/>
                <w:b w:val="0"/>
                <w:i w:val="0"/>
                <w:sz w:val="20"/>
              </w:rPr>
              <w:t>src/viz_style.py concentra paleta, estilo de eixos e regras de privacidade reutilizadas por todos os notebooks</w:t>
            </w:r>
          </w:p>
        </w:tc>
      </w:tr>
      <w:tr>
        <w:tc>
          <w:tcPr>
            <w:tcW w:type="dxa" w:w="3969"/>
          </w:tcPr>
          <w:p>
            <w:r>
              <w:rPr>
                <w:rFonts w:ascii="Calibri" w:hAnsi="Calibri"/>
                <w:b w:val="0"/>
                <w:i w:val="0"/>
                <w:sz w:val="20"/>
              </w:rPr>
              <w:t>Execução das análises exploratórias</w:t>
            </w:r>
          </w:p>
        </w:tc>
        <w:tc>
          <w:tcPr>
            <w:tcW w:type="dxa" w:w="1587"/>
          </w:tcPr>
          <w:p>
            <w:r>
              <w:rPr>
                <w:rFonts w:ascii="Calibri" w:hAnsi="Calibri"/>
                <w:b w:val="0"/>
                <w:i w:val="0"/>
                <w:sz w:val="20"/>
              </w:rPr>
              <w:t>Concluído</w:t>
            </w:r>
          </w:p>
        </w:tc>
        <w:tc>
          <w:tcPr>
            <w:tcW w:type="dxa" w:w="3515"/>
          </w:tcPr>
          <w:p>
            <w:r>
              <w:rPr>
                <w:rFonts w:ascii="Calibri" w:hAnsi="Calibri"/>
                <w:b w:val="0"/>
                <w:i w:val="0"/>
                <w:sz w:val="20"/>
              </w:rPr>
              <w:t>6 notebooks (00 a 05), um por dimensão de análise — ver seção 5</w:t>
            </w:r>
          </w:p>
        </w:tc>
      </w:tr>
      <w:tr>
        <w:tc>
          <w:tcPr>
            <w:tcW w:type="dxa" w:w="3969"/>
          </w:tcPr>
          <w:p>
            <w:r>
              <w:rPr>
                <w:rFonts w:ascii="Calibri" w:hAnsi="Calibri"/>
                <w:b w:val="0"/>
                <w:i w:val="0"/>
                <w:sz w:val="20"/>
              </w:rPr>
              <w:t>Revisão final dos notebooks pelo responsável</w:t>
            </w:r>
          </w:p>
        </w:tc>
        <w:tc>
          <w:tcPr>
            <w:tcW w:type="dxa" w:w="1587"/>
          </w:tcPr>
          <w:p>
            <w:r>
              <w:rPr>
                <w:rFonts w:ascii="Calibri" w:hAnsi="Calibri"/>
                <w:b w:val="0"/>
                <w:i w:val="0"/>
                <w:sz w:val="20"/>
              </w:rPr>
              <w:t>Concluído</w:t>
            </w:r>
          </w:p>
        </w:tc>
        <w:tc>
          <w:tcPr>
            <w:tcW w:type="dxa" w:w="3515"/>
          </w:tcPr>
          <w:p>
            <w:r>
              <w:rPr>
                <w:rFonts w:ascii="Calibri" w:hAnsi="Calibri"/>
                <w:b w:val="0"/>
                <w:i w:val="0"/>
                <w:sz w:val="20"/>
              </w:rPr>
              <w:t>Os 6 notebooks foram revisados e aprovados pelo responsável técnico</w:t>
            </w:r>
          </w:p>
        </w:tc>
      </w:tr>
      <w:tr>
        <w:tc>
          <w:tcPr>
            <w:tcW w:type="dxa" w:w="3969"/>
          </w:tcPr>
          <w:p>
            <w:r>
              <w:rPr>
                <w:rFonts w:ascii="Calibri" w:hAnsi="Calibri"/>
                <w:b w:val="0"/>
                <w:i w:val="0"/>
                <w:sz w:val="20"/>
              </w:rPr>
              <w:t>Geração do relatório consolidado das análises</w:t>
            </w:r>
          </w:p>
        </w:tc>
        <w:tc>
          <w:tcPr>
            <w:tcW w:type="dxa" w:w="1587"/>
          </w:tcPr>
          <w:p>
            <w:r>
              <w:rPr>
                <w:rFonts w:ascii="Calibri" w:hAnsi="Calibri"/>
                <w:b w:val="0"/>
                <w:i w:val="0"/>
                <w:sz w:val="20"/>
              </w:rPr>
              <w:t>Concluído</w:t>
            </w:r>
          </w:p>
        </w:tc>
        <w:tc>
          <w:tcPr>
            <w:tcW w:type="dxa" w:w="3515"/>
          </w:tcPr>
          <w:p>
            <w:r>
              <w:rPr>
                <w:rFonts w:ascii="Calibri" w:hAnsi="Calibri"/>
                <w:b w:val="0"/>
                <w:i w:val="0"/>
                <w:sz w:val="20"/>
              </w:rPr>
              <w:t>reports/resumo_reconhecimento.md — consolida os achados das 6 análises</w:t>
            </w:r>
          </w:p>
        </w:tc>
      </w:tr>
      <w:tr>
        <w:tc>
          <w:tcPr>
            <w:tcW w:type="dxa" w:w="3969"/>
          </w:tcPr>
          <w:p>
            <w:r>
              <w:rPr>
                <w:rFonts w:ascii="Calibri" w:hAnsi="Calibri"/>
                <w:b w:val="0"/>
                <w:i w:val="0"/>
                <w:sz w:val="20"/>
              </w:rPr>
              <w:t>Remoção de artefatos superados e código morto</w:t>
            </w:r>
          </w:p>
        </w:tc>
        <w:tc>
          <w:tcPr>
            <w:tcW w:type="dxa" w:w="1587"/>
          </w:tcPr>
          <w:p>
            <w:r>
              <w:rPr>
                <w:rFonts w:ascii="Calibri" w:hAnsi="Calibri"/>
                <w:b w:val="0"/>
                <w:i w:val="0"/>
                <w:sz w:val="20"/>
              </w:rPr>
              <w:t>Concluído</w:t>
            </w:r>
          </w:p>
        </w:tc>
        <w:tc>
          <w:tcPr>
            <w:tcW w:type="dxa" w:w="3515"/>
          </w:tcPr>
          <w:p>
            <w:r>
              <w:rPr>
                <w:rFonts w:ascii="Calibri" w:hAnsi="Calibri"/>
                <w:b w:val="0"/>
                <w:i w:val="0"/>
                <w:sz w:val="20"/>
              </w:rPr>
              <w:t>Script de carga inicial e resumo de texto de versão anterior, substituídos pelos notebooks estruturados</w:t>
            </w:r>
          </w:p>
        </w:tc>
      </w:tr>
      <w:tr>
        <w:tc>
          <w:tcPr>
            <w:tcW w:type="dxa" w:w="3969"/>
          </w:tcPr>
          <w:p>
            <w:r>
              <w:rPr>
                <w:rFonts w:ascii="Calibri" w:hAnsi="Calibri"/>
                <w:b w:val="0"/>
                <w:i w:val="0"/>
                <w:sz w:val="20"/>
              </w:rPr>
              <w:t>Documentação do projeto (README.md)</w:t>
            </w:r>
          </w:p>
        </w:tc>
        <w:tc>
          <w:tcPr>
            <w:tcW w:type="dxa" w:w="1587"/>
          </w:tcPr>
          <w:p>
            <w:r>
              <w:rPr>
                <w:rFonts w:ascii="Calibri" w:hAnsi="Calibri"/>
                <w:b w:val="0"/>
                <w:i w:val="0"/>
                <w:sz w:val="20"/>
              </w:rPr>
              <w:t>Concluído</w:t>
            </w:r>
          </w:p>
        </w:tc>
        <w:tc>
          <w:tcPr>
            <w:tcW w:type="dxa" w:w="3515"/>
          </w:tcPr>
          <w:p>
            <w:r>
              <w:rPr>
                <w:rFonts w:ascii="Calibri" w:hAnsi="Calibri"/>
                <w:b w:val="0"/>
                <w:i w:val="0"/>
                <w:sz w:val="20"/>
              </w:rPr>
              <w:t>Preenchido com visão geral, comandos uv, estrutura de pastas e tabela dos notebooks</w:t>
            </w:r>
          </w:p>
        </w:tc>
      </w:tr>
    </w:tbl>
    <w:p>
      <w:pPr>
        <w:pStyle w:val="Heading1"/>
        <w:spacing w:before="320" w:after="160"/>
      </w:pPr>
      <w:r>
        <w:rPr>
          <w:rFonts w:ascii="Calibri" w:hAnsi="Calibri"/>
          <w:color w:val="1F1F1F"/>
        </w:rPr>
        <w:t>5. Síntese das Análises Realizadas</w:t>
      </w:r>
    </w:p>
    <w:p>
      <w:pPr>
        <w:spacing w:after="160"/>
      </w:pPr>
      <w:r>
        <w:rPr>
          <w:rFonts w:ascii="Calibri" w:hAnsi="Calibri"/>
          <w:b w:val="0"/>
          <w:i w:val="0"/>
          <w:sz w:val="22"/>
        </w:rPr>
        <w:t>Foram executados seis notebooks de análise exploratória, cada um cobrindo uma dimensão da base de servidores do SIAPE (9.991 servidores, 62 colunas). Os notebooks foram revisados e aprovados pelo responsável técnico. O relatório consolidado com os achados detalhados de cada análise está disponível em reports/resumo_reconhecimento.md.</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1984"/>
            <w:shd w:val="clear" w:color="auto" w:fill="D9D9D9"/>
          </w:tcPr>
          <w:p>
            <w:r>
              <w:rPr>
                <w:rFonts w:ascii="Calibri" w:hAnsi="Calibri"/>
                <w:b/>
                <w:i w:val="0"/>
                <w:sz w:val="20"/>
              </w:rPr>
              <w:t>Notebook</w:t>
            </w:r>
          </w:p>
        </w:tc>
        <w:tc>
          <w:tcPr>
            <w:tcW w:type="dxa" w:w="7087"/>
            <w:shd w:val="clear" w:color="auto" w:fill="D9D9D9"/>
          </w:tcPr>
          <w:p>
            <w:r>
              <w:rPr>
                <w:rFonts w:ascii="Calibri" w:hAnsi="Calibri"/>
                <w:b/>
                <w:i w:val="0"/>
                <w:sz w:val="20"/>
              </w:rPr>
              <w:t>Escopo e principal achado</w:t>
            </w:r>
          </w:p>
        </w:tc>
      </w:tr>
      <w:tr>
        <w:tc>
          <w:tcPr>
            <w:tcW w:type="dxa" w:w="1984"/>
          </w:tcPr>
          <w:p>
            <w:r>
              <w:rPr>
                <w:rFonts w:ascii="Calibri" w:hAnsi="Calibri"/>
                <w:b/>
                <w:i w:val="0"/>
                <w:sz w:val="20"/>
              </w:rPr>
              <w:t>00_reconhecimento</w:t>
            </w:r>
          </w:p>
        </w:tc>
        <w:tc>
          <w:tcPr>
            <w:tcW w:type="dxa" w:w="7087"/>
          </w:tcPr>
          <w:p>
            <w:r>
              <w:rPr>
                <w:rFonts w:ascii="Calibri" w:hAnsi="Calibri"/>
                <w:b w:val="0"/>
                <w:i w:val="0"/>
                <w:sz w:val="20"/>
              </w:rPr>
              <w:t>Reconhecimento estrutural da base (sem análise de conteúdo): volumetria, tipos de dado, nulos por coluna, colunas de data e período coberto, cardinalidade das categóricas. Base com 9.991 servidores e 62 colunas, oriundas de sistemas de origem distintos (afastamentos, cessões, licenças, DB_SGC).</w:t>
            </w:r>
          </w:p>
        </w:tc>
      </w:tr>
      <w:tr>
        <w:tc>
          <w:tcPr>
            <w:tcW w:type="dxa" w:w="1984"/>
          </w:tcPr>
          <w:p>
            <w:r>
              <w:rPr>
                <w:rFonts w:ascii="Calibri" w:hAnsi="Calibri"/>
                <w:b/>
                <w:i w:val="0"/>
                <w:sz w:val="20"/>
              </w:rPr>
              <w:t>01_perfil_demografico</w:t>
            </w:r>
          </w:p>
        </w:tc>
        <w:tc>
          <w:tcPr>
            <w:tcW w:type="dxa" w:w="7087"/>
          </w:tcPr>
          <w:p>
            <w:r>
              <w:rPr>
                <w:rFonts w:ascii="Calibri" w:hAnsi="Calibri"/>
                <w:b w:val="0"/>
                <w:i w:val="0"/>
                <w:sz w:val="20"/>
              </w:rPr>
              <w:t>Distribuição por idade, sexo, escolaridade e UF de exercício. Quadro concentrado no Distrito Federal, maioria com nível superior, distribuição de sexo equilibrada.</w:t>
            </w:r>
          </w:p>
        </w:tc>
      </w:tr>
      <w:tr>
        <w:tc>
          <w:tcPr>
            <w:tcW w:type="dxa" w:w="1984"/>
          </w:tcPr>
          <w:p>
            <w:r>
              <w:rPr>
                <w:rFonts w:ascii="Calibri" w:hAnsi="Calibri"/>
                <w:b/>
                <w:i w:val="0"/>
                <w:sz w:val="20"/>
              </w:rPr>
              <w:t>02_cargos_secretarias</w:t>
            </w:r>
          </w:p>
        </w:tc>
        <w:tc>
          <w:tcPr>
            <w:tcW w:type="dxa" w:w="7087"/>
          </w:tcPr>
          <w:p>
            <w:r>
              <w:rPr>
                <w:rFonts w:ascii="Calibri" w:hAnsi="Calibri"/>
                <w:b w:val="0"/>
                <w:i w:val="0"/>
                <w:sz w:val="20"/>
              </w:rPr>
              <w:t>Distribuição por cargo, secretaria, órgão de exercício e hierarquia (DAS). Forte concentração em um único cargo e uma única secretaria, com dispersão maior entre órgãos de exercício.</w:t>
            </w:r>
          </w:p>
        </w:tc>
      </w:tr>
      <w:tr>
        <w:tc>
          <w:tcPr>
            <w:tcW w:type="dxa" w:w="1984"/>
          </w:tcPr>
          <w:p>
            <w:r>
              <w:rPr>
                <w:rFonts w:ascii="Calibri" w:hAnsi="Calibri"/>
                <w:b/>
                <w:i w:val="0"/>
                <w:sz w:val="20"/>
              </w:rPr>
              <w:t>03_situacoes_especiais</w:t>
            </w:r>
          </w:p>
        </w:tc>
        <w:tc>
          <w:tcPr>
            <w:tcW w:type="dxa" w:w="7087"/>
          </w:tcPr>
          <w:p>
            <w:r>
              <w:rPr>
                <w:rFonts w:ascii="Calibri" w:hAnsi="Calibri"/>
                <w:b w:val="0"/>
                <w:i w:val="0"/>
                <w:sz w:val="20"/>
              </w:rPr>
              <w:t>Servidores fora da situação normal de exercício (afastados para estudo, licenciados, cedidos, em exercício fora do DF). Grande maioria em situação normal; populações especiais pequenas (dezenas a poucas centenas).</w:t>
            </w:r>
          </w:p>
        </w:tc>
      </w:tr>
      <w:tr>
        <w:tc>
          <w:tcPr>
            <w:tcW w:type="dxa" w:w="1984"/>
          </w:tcPr>
          <w:p>
            <w:r>
              <w:rPr>
                <w:rFonts w:ascii="Calibri" w:hAnsi="Calibri"/>
                <w:b/>
                <w:i w:val="0"/>
                <w:sz w:val="20"/>
              </w:rPr>
              <w:t>04_carreira_capacitacao</w:t>
            </w:r>
          </w:p>
        </w:tc>
        <w:tc>
          <w:tcPr>
            <w:tcW w:type="dxa" w:w="7087"/>
          </w:tcPr>
          <w:p>
            <w:r>
              <w:rPr>
                <w:rFonts w:ascii="Calibri" w:hAnsi="Calibri"/>
                <w:b w:val="0"/>
                <w:i w:val="0"/>
                <w:sz w:val="20"/>
              </w:rPr>
              <w:t>Dados do sistema DB_SGC: carreira, turma de ingresso, jornada, situação funcional, classe e padrão salarial. Cobertura de 2.329 servidores (23,3% da base) — o cargo mais comum não está rastreado neste sistema.</w:t>
            </w:r>
          </w:p>
        </w:tc>
      </w:tr>
      <w:tr>
        <w:tc>
          <w:tcPr>
            <w:tcW w:type="dxa" w:w="1984"/>
          </w:tcPr>
          <w:p>
            <w:r>
              <w:rPr>
                <w:rFonts w:ascii="Calibri" w:hAnsi="Calibri"/>
                <w:b/>
                <w:i w:val="0"/>
                <w:sz w:val="20"/>
              </w:rPr>
              <w:t>05_raca_deficiencia</w:t>
            </w:r>
          </w:p>
        </w:tc>
        <w:tc>
          <w:tcPr>
            <w:tcW w:type="dxa" w:w="7087"/>
          </w:tcPr>
          <w:p>
            <w:r>
              <w:rPr>
                <w:rFonts w:ascii="Calibri" w:hAnsi="Calibri"/>
                <w:b w:val="0"/>
                <w:i w:val="0"/>
                <w:sz w:val="20"/>
              </w:rPr>
              <w:t>Raça/cor e deficiência autodeclaradas, a partir do cadastro "Dados pessoais". Cobertura de 2.334 servidores (23,4% da base). Entre os que informaram, perfil e proporção de deficiência declarada seguem o padrão esperado.</w:t>
            </w:r>
          </w:p>
        </w:tc>
      </w:tr>
    </w:tbl>
    <w:p>
      <w:pPr>
        <w:pStyle w:val="Heading2"/>
        <w:spacing w:before="320" w:after="160"/>
      </w:pPr>
      <w:r>
        <w:rPr>
          <w:rFonts w:ascii="Calibri" w:hAnsi="Calibri"/>
          <w:color w:val="1F1F1F"/>
        </w:rPr>
        <w:t>5.1. Ressalva sobre cobertura parcial (notebooks 04 e 05)</w:t>
      </w:r>
    </w:p>
    <w:p>
      <w:pPr>
        <w:spacing w:after="160"/>
      </w:pPr>
      <w:r>
        <w:rPr>
          <w:rFonts w:ascii="Calibri" w:hAnsi="Calibri"/>
          <w:b w:val="0"/>
          <w:i w:val="0"/>
          <w:sz w:val="22"/>
        </w:rPr>
        <w:t>Os notebooks 04 (carreira/capacitação) e 05 (raça/deficiência) cobrem, cada um, cerca de 23% da base — mas a partir de dois cadastros de origem diferentes (sistema DB_SGC e cadastro de dados pessoais, respectivamente) e não confirmados como o mesmo subconjunto de servidores. A proximidade dos percentuais (23,3% e 23,4%) é, até o momento, uma coincidência de tamanho, não uma correspondência verificada entre as pessoas cobertas. Números desses dois notebooks devem ser apresentados como referentes a um subconjunto da base, não ao total — o cargo mais frequente no quadro (Analista Técnico Executivo) está fora da cobertura de ambos os cadastros, o que ilustra concretamente a limitação.</w:t>
      </w:r>
    </w:p>
    <w:p>
      <w:pPr>
        <w:pStyle w:val="Heading2"/>
        <w:spacing w:before="320" w:after="160"/>
      </w:pPr>
      <w:r>
        <w:rPr>
          <w:rFonts w:ascii="Calibri" w:hAnsi="Calibri"/>
          <w:color w:val="1F1F1F"/>
        </w:rPr>
        <w:t>5.2. Qualidade dos dados</w:t>
      </w:r>
    </w:p>
    <w:p>
      <w:pPr>
        <w:spacing w:after="160"/>
      </w:pPr>
      <w:r>
        <w:rPr>
          <w:rFonts w:ascii="Calibri" w:hAnsi="Calibri"/>
          <w:b w:val="0"/>
          <w:i w:val="0"/>
          <w:sz w:val="22"/>
        </w:rPr>
        <w:t>A exploração identificou inconsistências pontuais na base de origem (detalhadas na seção 6 de reports/resumo_reconhecimento.md), incluindo uma data de nascimento fora de faixa plausível (ano 2103) e colunas aparentemente duplicadas. Essas ocorrências foram registradas, mas não investigadas a fundo nem confirmadas junto à área responsável pela base — devem ser tratadas como hipóteses de qualidade de dado a validar, não como fatos, em qualquer comunicação mais formal. Ver seção 8.</w:t>
      </w:r>
    </w:p>
    <w:p>
      <w:pPr>
        <w:pStyle w:val="Heading1"/>
        <w:spacing w:before="320" w:after="160"/>
      </w:pPr>
      <w:r>
        <w:rPr>
          <w:rFonts w:ascii="Calibri" w:hAnsi="Calibri"/>
          <w:color w:val="1F1F1F"/>
        </w:rPr>
        <w:t>6. Incidentes Técnicos e Resoluções</w:t>
      </w:r>
    </w:p>
    <w:p>
      <w:pPr>
        <w:spacing w:after="160"/>
      </w:pPr>
      <w:r>
        <w:rPr>
          <w:rFonts w:ascii="Calibri" w:hAnsi="Calibri"/>
          <w:b w:val="0"/>
          <w:i w:val="0"/>
          <w:sz w:val="22"/>
        </w:rPr>
        <w:t>Além dos incidentes já registrados no relatório original — incompatibilidade de versão do Python, corrupção de caracteres acentuados no arquivo de contexto, conflito de ambientes Conda/uv e falha de renderização do Claude Code no console do PowerShell —, foram identificados e resolvidos os seguintes pontos durante a fase de execução analítica:</w:t>
      </w:r>
    </w:p>
    <w:p>
      <w:pPr>
        <w:pStyle w:val="ListBullet"/>
        <w:spacing w:after="80"/>
      </w:pPr>
      <w:r>
        <w:rPr>
          <w:rFonts w:ascii="Calibri" w:hAnsi="Calibri"/>
          <w:b w:val="0"/>
          <w:i w:val="0"/>
          <w:sz w:val="22"/>
        </w:rPr>
        <w:t>Bloqueio de acesso ao arquivo de dados pelo antivírus (Avast): o arquivo de origem passou a ser bloqueado (erro de permissão) especificamente para processos Python, após múltiplas leituras repetidas em sequência — padrão de acesso possivelmente interpretado como comportamento suspeito por módulos de proteção contra ransomware. Diagnóstico confirmado por eliminação (arquivos vizinhos abriam normalmente; uma cópia do mesmo conteúdo com nome diferente também abria; o bloqueio seguia o caminho exato do arquivo, não o conteúdo). Contornado renomeando o arquivo e atualizando as referências no código; o arquivo original bloqueado foi mantido como backup temporário e posteriormente removido, já com o incidente documentado.</w:t>
      </w:r>
    </w:p>
    <w:p>
      <w:pPr>
        <w:pStyle w:val="ListBullet"/>
        <w:spacing w:after="80"/>
      </w:pPr>
      <w:r>
        <w:rPr>
          <w:rFonts w:ascii="Calibri" w:hAnsi="Calibri"/>
          <w:b w:val="0"/>
          <w:i w:val="0"/>
          <w:sz w:val="22"/>
        </w:rPr>
        <w:t>Incidente correlato, de causa distinta: o mesmo sintoma de erro de permissão, em ocasião anterior, foi causado por um processo de kernel Jupyter aberto pelo editor Cursor mantendo o arquivo em uso — sem relação com o antivírus. Resolvido ao encerrar o processo do kernel. Ambas as causas produzem o mesmo sintoma e foram documentadas separadamente para diagnóstico futuro.</w:t>
      </w:r>
    </w:p>
    <w:p>
      <w:pPr>
        <w:pStyle w:val="ListBullet"/>
        <w:spacing w:after="80"/>
      </w:pPr>
      <w:r>
        <w:rPr>
          <w:rFonts w:ascii="Calibri" w:hAnsi="Calibri"/>
          <w:b w:val="0"/>
          <w:i w:val="0"/>
          <w:sz w:val="22"/>
        </w:rPr>
        <w:t>Correção de risco de reidentificação em visualizações: em autorrevisão dos gráficos e tabelas já produzidos, identificou-se que categorias com apenas 1 ou 2 servidores apareciam com contagem exata em alguns gráficos — risco de reidentificação mesmo sem exibição de identificadores diretos. Corrigido com a criação de uma função de supressão que agrupa qualquer categoria com menos de 5 servidores antes da exibição, aplicada retroativamente a todos os notebooks já produzidos. Detalhes em seção 7.</w:t>
      </w:r>
    </w:p>
    <w:p>
      <w:pPr>
        <w:pStyle w:val="ListBullet"/>
        <w:spacing w:after="80"/>
      </w:pPr>
      <w:r>
        <w:rPr>
          <w:rFonts w:ascii="Calibri" w:hAnsi="Calibri"/>
          <w:b w:val="0"/>
          <w:i w:val="0"/>
          <w:sz w:val="22"/>
        </w:rPr>
        <w:t>Correção de bug de visualização: em gráficos de barra com muitas categorias, a categoria "Outros" (soma de categorias menores) podia ser ordenada por valor junto às categorias reais, chegando a aparecer como a maior barra do gráfico em um caso — passando a impressão incorreta de que se tratava de uma categoria específica de grande porte. Corrigido fixando essa categoria em posição neutra, sempre destacada visualmente, sem competir por posição com as categorias reais.</w:t>
      </w:r>
    </w:p>
    <w:p>
      <w:pPr>
        <w:pStyle w:val="Heading1"/>
        <w:spacing w:before="320" w:after="160"/>
      </w:pPr>
      <w:r>
        <w:rPr>
          <w:rFonts w:ascii="Calibri" w:hAnsi="Calibri"/>
          <w:color w:val="1F1F1F"/>
        </w:rPr>
        <w:t>7. Considerações sobre Tratamento de Dados Pessoais</w:t>
      </w:r>
    </w:p>
    <w:p>
      <w:pPr>
        <w:spacing w:after="160"/>
      </w:pPr>
      <w:r>
        <w:rPr>
          <w:rFonts w:ascii="Calibri" w:hAnsi="Calibri"/>
          <w:b w:val="0"/>
          <w:i w:val="0"/>
          <w:sz w:val="22"/>
        </w:rPr>
        <w:t>As diretrizes operacionais estabelecidas no relatório original permanecem em vigor e foram efetivamente aplicadas ao longo da execução analítica:</w:t>
      </w:r>
    </w:p>
    <w:p>
      <w:pPr>
        <w:pStyle w:val="ListBullet"/>
        <w:spacing w:after="80"/>
      </w:pPr>
      <w:r>
        <w:rPr>
          <w:rFonts w:ascii="Calibri" w:hAnsi="Calibri"/>
          <w:b w:val="0"/>
          <w:i w:val="0"/>
          <w:sz w:val="22"/>
        </w:rPr>
        <w:t>Processamento estritamente local, sem envio de dados a serviços externos durante a execução dos scripts;</w:t>
      </w:r>
    </w:p>
    <w:p>
      <w:pPr>
        <w:pStyle w:val="ListBullet"/>
        <w:spacing w:after="80"/>
      </w:pPr>
      <w:r>
        <w:rPr>
          <w:rFonts w:ascii="Calibri" w:hAnsi="Calibri"/>
          <w:b w:val="0"/>
          <w:i w:val="0"/>
          <w:sz w:val="22"/>
        </w:rPr>
        <w:t>Vedação à reprodução de registros individuais brutos em telas, terminais ou relatórios gerados — implementada de forma centralizada em módulo de código compartilhado (src/viz_style.py), reutilizado por todos os notebooks, restringindo as saídas a agregados e estatísticas;</w:t>
      </w:r>
    </w:p>
    <w:p>
      <w:pPr>
        <w:pStyle w:val="ListBullet"/>
        <w:spacing w:after="80"/>
      </w:pPr>
      <w:r>
        <w:rPr>
          <w:rFonts w:ascii="Calibri" w:hAnsi="Calibri"/>
          <w:b w:val="0"/>
          <w:i w:val="0"/>
          <w:sz w:val="22"/>
        </w:rPr>
        <w:t>Nova regra, adotada durante a execução: supressão de células pequenas — qualquer categoria com menos de 5 servidores é agrupada antes de aparecer em gráfico ou tabela. O limiar de 5 foi uma escolha própria da equipe técnica, não um parâmetro normativo conhecido; recomenda-se sua validação por pessoa com conhecimento de LGPD/privacidade de dados caso este relatório venha a ser usado de forma mais formal ou o piloto avance para uso continuado.</w:t>
      </w:r>
    </w:p>
    <w:p>
      <w:pPr>
        <w:spacing w:after="160"/>
      </w:pPr>
      <w:r>
        <w:rPr>
          <w:rFonts w:ascii="Calibri" w:hAnsi="Calibri"/>
          <w:b w:val="0"/>
          <w:i w:val="0"/>
          <w:sz w:val="22"/>
        </w:rPr>
        <w:t>Quanto ao ponto anteriormente listado como pendente — avaliação sobre a exclusão do arquivo de dados do controle de versão —, confirma-se que a pasta de dados (data/) está corretamente configurada no arquivo de exclusão do Git (.gitignore) desde a estruturação inicial do projeto, e a base do SIAPE nunca foi versionada no repositório em nenhum momento do piloto. Este ponto está resolvido.</w:t>
      </w:r>
    </w:p>
    <w:p>
      <w:pPr>
        <w:pStyle w:val="Heading1"/>
        <w:spacing w:before="320" w:after="160"/>
      </w:pPr>
      <w:r>
        <w:rPr>
          <w:rFonts w:ascii="Calibri" w:hAnsi="Calibri"/>
          <w:color w:val="1F1F1F"/>
        </w:rPr>
        <w:t>8. Pendências e Próximos Passos</w:t>
      </w:r>
    </w:p>
    <w:p>
      <w:pPr>
        <w:spacing w:after="160"/>
      </w:pPr>
      <w:r>
        <w:rPr>
          <w:rFonts w:ascii="Calibri" w:hAnsi="Calibri"/>
          <w:b w:val="0"/>
          <w:i w:val="0"/>
          <w:sz w:val="22"/>
        </w:rPr>
        <w:t>Com a conclusão da fase de execução analítica, as pendências remanescentes deixam de ser técnicas e passam a depender de decisões do responsável ou de terceiros:</w:t>
      </w:r>
    </w:p>
    <w:p>
      <w:pPr>
        <w:pStyle w:val="ListBullet"/>
        <w:spacing w:after="80"/>
      </w:pPr>
      <w:r>
        <w:rPr>
          <w:rFonts w:ascii="Calibri" w:hAnsi="Calibri"/>
          <w:b w:val="0"/>
          <w:i w:val="0"/>
          <w:sz w:val="22"/>
        </w:rPr>
        <w:t>Investigar, junto à área responsável pela base de origem do SIAPE, as inconsistências de qualidade de dado identificadas na exploração (seção 5.2) — depende de terceiros;</w:t>
      </w:r>
    </w:p>
    <w:p>
      <w:pPr>
        <w:pStyle w:val="ListBullet"/>
        <w:spacing w:after="80"/>
      </w:pPr>
      <w:r>
        <w:rPr>
          <w:rFonts w:ascii="Calibri" w:hAnsi="Calibri"/>
          <w:b w:val="0"/>
          <w:i w:val="0"/>
          <w:sz w:val="22"/>
        </w:rPr>
        <w:t>Decidir se este relatório e as análises correspondentes serão atualizados periodicamente, conforme a base SIAPE for reprocessada, ou se constituem uma entrega única do piloto — decisão do responsável técnico;</w:t>
      </w:r>
    </w:p>
    <w:p>
      <w:pPr>
        <w:pStyle w:val="ListBullet"/>
        <w:spacing w:after="80"/>
      </w:pPr>
      <w:r>
        <w:rPr>
          <w:rFonts w:ascii="Calibri" w:hAnsi="Calibri"/>
          <w:b w:val="0"/>
          <w:i w:val="0"/>
          <w:sz w:val="22"/>
        </w:rPr>
        <w:t>Caso o piloto avance para uso mais formal ou continuado, avaliar a validação do limiar de supressão de células pequenas (seção 7) por pessoa com conhecimento de LGPD;</w:t>
      </w:r>
    </w:p>
    <w:p>
      <w:pPr>
        <w:pStyle w:val="ListBullet"/>
        <w:spacing w:after="80"/>
      </w:pPr>
      <w:r>
        <w:rPr>
          <w:rFonts w:ascii="Calibri" w:hAnsi="Calibri"/>
          <w:b w:val="0"/>
          <w:i w:val="0"/>
          <w:sz w:val="22"/>
        </w:rPr>
        <w:t>Consolidar um relatório final do piloto, incorporando os achados analíticos das seis dimensões estudadas, a ser submetido para avaliação de continuidade.</w:t>
      </w:r>
    </w:p>
    <w:p>
      <w:pPr>
        <w:pStyle w:val="Heading1"/>
        <w:spacing w:before="320" w:after="160"/>
      </w:pPr>
      <w:r>
        <w:rPr>
          <w:rFonts w:ascii="Calibri" w:hAnsi="Calibri"/>
          <w:color w:val="1F1F1F"/>
        </w:rPr>
        <w:t>9. Considerações Finais</w:t>
      </w:r>
    </w:p>
    <w:p>
      <w:pPr>
        <w:spacing w:after="160"/>
      </w:pPr>
      <w:r>
        <w:rPr>
          <w:rFonts w:ascii="Calibri" w:hAnsi="Calibri"/>
          <w:b w:val="0"/>
          <w:i w:val="0"/>
          <w:sz w:val="22"/>
        </w:rPr>
        <w:t>Desde o relatório técnico anterior, o projeto piloto avançou da fase de estruturação do ambiente para a conclusão da fase de execução analítica: as seis análises planejadas foram executadas, revisadas e aprovadas, um relatório consolidado de achados foi produzido, e as regras de proteção de dados pessoais inicialmente previstas foram implementadas e reforçadas com uma nova regra de supressão de células pequenas, identificada durante autorrevisão do próprio trabalho.</w:t>
      </w:r>
    </w:p>
    <w:p>
      <w:pPr>
        <w:spacing w:after="160"/>
      </w:pPr>
      <w:r>
        <w:rPr>
          <w:rFonts w:ascii="Calibri" w:hAnsi="Calibri"/>
          <w:b w:val="0"/>
          <w:i w:val="0"/>
          <w:sz w:val="22"/>
        </w:rPr>
        <w:t>O piloto encontra-se, portanto, tecnicamente concluído em sua fase analítica. As pendências remanescentes — investigação de qualidade de dado junto à área de origem e decisão sobre continuidade/atualização periódica — não são de natureza técnica e dependem de encaminhamento pelo responsável ou por terceiros. O projeto está apto a avançar para a consolidação do relatório final e para a avaliação de continuidade.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