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b6r979p8jf9" w:id="0"/>
      <w:bookmarkEnd w:id="0"/>
      <w:r w:rsidDel="00000000" w:rsidR="00000000" w:rsidRPr="00000000">
        <w:rPr>
          <w:rtl w:val="0"/>
        </w:rPr>
        <w:t xml:space="preserve">Engagement Charter — Digital Lending Portfolio Optimization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4e9kobbpmc" w:id="1"/>
      <w:bookmarkEnd w:id="1"/>
      <w:r w:rsidDel="00000000" w:rsidR="00000000" w:rsidRPr="00000000">
        <w:rPr>
          <w:rtl w:val="0"/>
        </w:rPr>
        <w:t xml:space="preserve">Section 1 -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Strengthen credit-risk assessment, enable early delinquency detection, and optimise pricing and product strategy to grow the book on a risk-adjusted basis.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hvge4nl12nr" w:id="2"/>
      <w:bookmarkEnd w:id="2"/>
      <w:r w:rsidDel="00000000" w:rsidR="00000000" w:rsidRPr="00000000">
        <w:rPr>
          <w:rtl w:val="0"/>
        </w:rPr>
        <w:t xml:space="preserve">Section 2 - Scope 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customer/loan/repayment/behavioural data analysis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and value segmentation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early-warning system design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pricing/tenure/approval policy recommendation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executive monitoring dashboard.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ind w:left="0" w:firstLine="0"/>
        <w:rPr/>
      </w:pPr>
      <w:bookmarkStart w:colFirst="0" w:colLast="0" w:name="_msthk26w37ix" w:id="3"/>
      <w:bookmarkEnd w:id="3"/>
      <w:r w:rsidDel="00000000" w:rsidR="00000000" w:rsidRPr="00000000">
        <w:rPr>
          <w:rtl w:val="0"/>
        </w:rPr>
        <w:t xml:space="preserve">Out of Scope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fraud detection and KYC/AML review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regulatory capital and IFRS 9 ECL provisioning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collections operations design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production build, deployment, and monitoring of the EWS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funding strategy and asset-liability management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macroeconomic stress testing beyond sensitivity ranges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channel-partner commercial renegotiation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customer-facing product or UX changes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organisational design and hiring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vendor selection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live (non-mock) dashboard tooling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1uuv30ungpei" w:id="4"/>
      <w:bookmarkEnd w:id="4"/>
      <w:r w:rsidDel="00000000" w:rsidR="00000000" w:rsidRPr="00000000">
        <w:rPr>
          <w:rtl w:val="0"/>
        </w:rPr>
        <w:t xml:space="preserve">Section 3 - Success Metrics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Reduction in 90+ DPD / credit loss rate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Improvement in risk-adjusted return (RAROC or NIM-after-loss)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 payback months and CLV by segment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 of losses pre-empted by EWS flags, and average lead time in days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(Optional) Approval-rate trade-off — volume given up per loss avoided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fiqdw8s9403e" w:id="5"/>
      <w:bookmarkEnd w:id="5"/>
      <w:r w:rsidDel="00000000" w:rsidR="00000000" w:rsidRPr="00000000">
        <w:rPr>
          <w:rtl w:val="0"/>
        </w:rPr>
        <w:t xml:space="preserve">Section 4 - Definitions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g0ifjaqwof0b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DPD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= Days Past Due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— a loan that has </w:t>
      </w:r>
      <w:r w:rsidDel="00000000" w:rsidR="00000000" w:rsidRPr="00000000">
        <w:rPr>
          <w:i w:val="1"/>
          <w:iCs w:val="1"/>
          <w:rtl w:val="0"/>
        </w:rPr>
        <w:t xml:space="preserve">ever</w:t>
      </w:r>
      <w:r w:rsidDel="00000000" w:rsidR="00000000" w:rsidRPr="00000000">
        <w:rPr>
          <w:rtl w:val="0"/>
        </w:rPr>
        <w:t xml:space="preserve"> reached 90+ DPD (an event; once flagged, stays flagged).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Delinquency</w:t>
      </w:r>
      <w:r w:rsidDel="00000000" w:rsidR="00000000" w:rsidRPr="00000000">
        <w:rPr>
          <w:rtl w:val="0"/>
        </w:rPr>
        <w:t xml:space="preserve"> — a loan that is </w:t>
      </w:r>
      <w:r w:rsidDel="00000000" w:rsidR="00000000" w:rsidRPr="00000000">
        <w:rPr>
          <w:i w:val="1"/>
          <w:iCs w:val="1"/>
          <w:rtl w:val="0"/>
        </w:rPr>
        <w:t xml:space="preserve">currently</w:t>
      </w:r>
      <w:r w:rsidDel="00000000" w:rsidR="00000000" w:rsidRPr="00000000">
        <w:rPr>
          <w:rtl w:val="0"/>
        </w:rPr>
        <w:t xml:space="preserve"> 1+ DPD (a status; can roll forward or cure).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DPD buckets</w:t>
      </w:r>
      <w:r w:rsidDel="00000000" w:rsidR="00000000" w:rsidRPr="00000000">
        <w:rPr>
          <w:rtl w:val="0"/>
        </w:rPr>
        <w:t xml:space="preserve"> — Current / 1–30 / 31–60 / 61–90 / 90+ days past due, measured from the oldest unpaid installment.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Vintage</w:t>
      </w:r>
      <w:r w:rsidDel="00000000" w:rsidR="00000000" w:rsidRPr="00000000">
        <w:rPr>
          <w:rtl w:val="0"/>
        </w:rPr>
        <w:t xml:space="preserve"> — loans grouped by origination month.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Cohort observation window</w:t>
      </w:r>
      <w:r w:rsidDel="00000000" w:rsidR="00000000" w:rsidRPr="00000000">
        <w:rPr>
          <w:rtl w:val="0"/>
        </w:rPr>
        <w:t xml:space="preserve"> — 18–24 months of monthly snapshots.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qmnjw9e0ky8h" w:id="7"/>
      <w:bookmarkEnd w:id="7"/>
      <w:r w:rsidDel="00000000" w:rsidR="00000000" w:rsidRPr="00000000">
        <w:rPr>
          <w:rtl w:val="0"/>
        </w:rPr>
        <w:t xml:space="preserve">Section 5 — Final deliverable shape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artefacts, sharing one storyline and one set of numbers: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 Policy Recommendation Report</w:t>
      </w:r>
      <w:r w:rsidDel="00000000" w:rsidR="00000000" w:rsidRPr="00000000">
        <w:rPr>
          <w:rtl w:val="0"/>
        </w:rPr>
        <w:t xml:space="preserve"> — 4–6 pages, addressed to the CRO. Recommendation on page 1. Dense, defensible, risk-adjusted.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Presentation Deck</w:t>
      </w:r>
      <w:r w:rsidDel="00000000" w:rsidR="00000000" w:rsidRPr="00000000">
        <w:rPr>
          <w:rtl w:val="0"/>
        </w:rPr>
        <w:t xml:space="preserve"> — 12–14 slides, one message per slide, recommendation visible by slide 2.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recommendation itself will take this form: </w:t>
      </w:r>
      <w:r w:rsidDel="00000000" w:rsidR="00000000" w:rsidRPr="00000000">
        <w:rPr>
          <w:b w:val="1"/>
          <w:bCs w:val="1"/>
          <w:rtl w:val="0"/>
        </w:rPr>
        <w:t xml:space="preserve">one headline policy + 2–3 supporting levers.</w:t>
      </w:r>
      <w:r w:rsidDel="00000000" w:rsidR="00000000" w:rsidRPr="00000000">
        <w:rPr>
          <w:rtl w:val="0"/>
        </w:rPr>
        <w:t xml:space="preserve"> Each lever will state: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Quantified impact</w:t>
      </w:r>
      <w:r w:rsidDel="00000000" w:rsidR="00000000" w:rsidRPr="00000000">
        <w:rPr>
          <w:rtl w:val="0"/>
        </w:rPr>
        <w:t xml:space="preserve"> — Δ default, Δ volume, Δ revenue, net Δ risk-adjusted contribution, as ranges with stated assumptions.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owner</w:t>
      </w:r>
      <w:r w:rsidDel="00000000" w:rsidR="00000000" w:rsidRPr="00000000">
        <w:rPr>
          <w:rtl w:val="0"/>
        </w:rPr>
        <w:t xml:space="preserve"> — the named function that will execute the change.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Guardrail metric</w:t>
      </w:r>
      <w:r w:rsidDel="00000000" w:rsidR="00000000" w:rsidRPr="00000000">
        <w:rPr>
          <w:rtl w:val="0"/>
        </w:rPr>
        <w:t xml:space="preserve"> — the indicator that would trigger pause or rollback.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deck and report read from the same controlled workbook; every figure reconciles.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1080" w:footer="10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