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CRIM - per capita crime rate by town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ZN - proportion of residential land zoned for lots over 25,000 sq.ft.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INDUS - proportion of non-retail business acres per town.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CHAS - Charles River dummy variable (1 if tract bounds river; 0 otherwise)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NOX - nitric oxides concentration (parts per 10 million)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RM - average number of rooms per dwelling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 - proportion of owner-occupied units built prior to 1940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 - weighted distances to five Boston employment centres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RAD - index of accessibility to radial highways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TAX - full-value property-tax rate per $10,000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PTRATIO - pupil-teacher ratio by town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- 1000(Bk - 0.63)^2 where Bk is the proportion of blacks by town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LSTAT - % lower status of the population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MEDV - Median value of owner-occupied homes in $1000's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