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504B6">
      <w:pPr>
        <w:spacing w:before="0" w:after="6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0"/>
        </w:rPr>
        <w:t>综合项目管理系统</w:t>
      </w:r>
    </w:p>
    <w:p w14:paraId="7F3B3740">
      <w:pPr>
        <w:spacing w:before="0" w:after="32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34"/>
        </w:rPr>
        <w:t>用户使用手册</w:t>
      </w:r>
    </w:p>
    <w:p w14:paraId="1BCCDB0E">
      <w:pPr>
        <w:spacing w:before="0" w:after="4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0"/>
        </w:rPr>
        <w:t>文档版本 v3.0.29 | 对应生产运行版本 v3.0.26 | 2026-09-03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B31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3D958"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用途：</w:t>
            </w:r>
            <w:r>
              <w:rPr>
                <w:rFonts w:ascii="Microsoft YaHei" w:hAnsi="Microsoft YaHei" w:eastAsia="Microsoft YaHei"/>
                <w:color w:val="1F2937"/>
                <w:sz w:val="20"/>
              </w:rPr>
              <w:t>本手册用于指导员工、审批人、项目负责人、出纳和系统管理员使用综合项目管理系统。</w:t>
            </w:r>
          </w:p>
        </w:tc>
      </w:tr>
    </w:tbl>
    <w:p w14:paraId="4E37E19B">
      <w:pPr>
        <w:spacing w:before="0" w:after="80" w:line="300" w:lineRule="auto"/>
      </w:pPr>
    </w:p>
    <w:p w14:paraId="2015507E">
      <w:pPr>
        <w:pStyle w:val="3"/>
        <w:keepNext/>
      </w:pPr>
      <w:r>
        <w:t>目录</w:t>
      </w:r>
    </w:p>
    <w:p w14:paraId="07E8FD8D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1. 系统说明与登录</w:t>
      </w:r>
    </w:p>
    <w:p w14:paraId="3DC0639B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2. 工作台</w:t>
      </w:r>
    </w:p>
    <w:p w14:paraId="3BDFA4EF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3. 工时管理</w:t>
      </w:r>
    </w:p>
    <w:p w14:paraId="7DF9790F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4. 项目管理</w:t>
      </w:r>
    </w:p>
    <w:p w14:paraId="5F7C71AA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5. 合同与阶段</w:t>
      </w:r>
    </w:p>
    <w:p w14:paraId="7EA5AF86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6. 收款单、付款单与出纳审批</w:t>
      </w:r>
    </w:p>
    <w:p w14:paraId="6BBF7386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7. 工时看板与项目看板</w:t>
      </w:r>
    </w:p>
    <w:p w14:paraId="26865BBE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8. 系统管理</w:t>
      </w:r>
    </w:p>
    <w:p w14:paraId="569AFC1B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9. 提醒、通知与权限</w:t>
      </w:r>
    </w:p>
    <w:p w14:paraId="26F9EFAA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10. 常见问题与安全提示</w:t>
      </w:r>
    </w:p>
    <w:p w14:paraId="7165A4A1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附录：当前版本变更摘要</w:t>
      </w:r>
    </w:p>
    <w:p w14:paraId="6E7589F2">
      <w:r>
        <w:br w:type="page"/>
      </w:r>
    </w:p>
    <w:p w14:paraId="50E2EB46">
      <w:pPr>
        <w:pStyle w:val="3"/>
        <w:keepNext/>
      </w:pPr>
      <w:r>
        <w:t>1. 系统说明与登录</w:t>
      </w:r>
    </w:p>
    <w:p w14:paraId="182209D8"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综合项目管理系统用于管理工时、项目、合同、收付款和项目经营数据。飞书负责登录、组织架构和应用消息通知；业务详情、填报、审批和报表操作在本系统完成。系统不是银行转账系统，也不替代财务总账。</w:t>
      </w:r>
    </w:p>
    <w:p w14:paraId="0A0DB53C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1｜打开系统</w:t>
      </w:r>
    </w:p>
    <w:p w14:paraId="3EFB00C6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在飞书工作台打开系统应用，或在浏览器访问系统地址。首次访问会进入登录页面。</w:t>
      </w:r>
    </w:p>
    <w:p w14:paraId="127AFE57">
      <w:pPr>
        <w:spacing w:before="80" w:after="60"/>
        <w:jc w:val="center"/>
      </w:pPr>
      <w:r>
        <w:drawing>
          <wp:inline distT="0" distB="0" distL="114300" distR="114300">
            <wp:extent cx="4480560" cy="4755515"/>
            <wp:effectExtent l="0" t="0" r="10160" b="5080"/>
            <wp:docPr id="1" name="Picture 1" descr="图 1  登录成功后的工作台入口" title="图 1  登录成功后的工作台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  登录成功后的工作台入口" title="图 1  登录成功后的工作台入口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4E1D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  登录成功后的工作台入口</w:t>
      </w:r>
    </w:p>
    <w:p w14:paraId="14715DDC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2｜完成飞书登录</w:t>
      </w:r>
    </w:p>
    <w:p w14:paraId="07AF9948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点击“使用飞书登录”，按飞书提示完成授权。授权完成后系统会回到工作台，不需要另设系统密码。</w:t>
      </w:r>
    </w:p>
    <w:p w14:paraId="1DF7A3F9">
      <w:pPr>
        <w:spacing w:before="80" w:after="60"/>
        <w:jc w:val="center"/>
      </w:pPr>
      <w:r>
        <w:drawing>
          <wp:inline distT="0" distB="0" distL="114300" distR="114300">
            <wp:extent cx="4480560" cy="4755515"/>
            <wp:effectExtent l="0" t="0" r="10160" b="5080"/>
            <wp:docPr id="2" name="Picture 2" descr="图 2  登录后进入工作台" title="图 2  登录后进入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  登录后进入工作台" title="图 2  登录后进入工作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644E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  登录后进入工作台</w:t>
      </w:r>
    </w:p>
    <w:p w14:paraId="74927A98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3｜确认菜单范围</w:t>
      </w:r>
    </w:p>
    <w:p w14:paraId="04C600DC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登录后先看左侧菜单。系统根据当前账号权限显示菜单；看不到某个菜单时，先联系系统管理员配置角色和数据范围。</w:t>
      </w:r>
    </w:p>
    <w:p w14:paraId="52A6EA97">
      <w:pPr>
        <w:spacing w:before="80" w:after="60"/>
        <w:jc w:val="center"/>
      </w:pPr>
      <w:r>
        <w:drawing>
          <wp:inline distT="0" distB="0" distL="114300" distR="114300">
            <wp:extent cx="4480560" cy="4755515"/>
            <wp:effectExtent l="0" t="0" r="10160" b="5080"/>
            <wp:docPr id="3" name="Picture 3" descr="图 3  按权限展示的左侧菜单" title="图 3  按权限展示的左侧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  按权限展示的左侧菜单" title="图 3  按权限展示的左侧菜单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0F8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  按权限展示的左侧菜单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0909F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CB4F"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一级模块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3977"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主要菜单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B4E0"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用途</w:t>
            </w:r>
          </w:p>
        </w:tc>
      </w:tr>
      <w:tr w14:paraId="504D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FBFCFE"/>
          </w:tcPr>
          <w:p w14:paraId="11DADEA8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工作台</w:t>
            </w:r>
          </w:p>
        </w:tc>
        <w:tc>
          <w:tcPr>
            <w:tcW w:w="3216" w:type="dxa"/>
            <w:shd w:val="clear" w:color="auto" w:fill="FBFCFE"/>
          </w:tcPr>
          <w:p w14:paraId="3B1CFEEE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工作台</w:t>
            </w:r>
          </w:p>
        </w:tc>
        <w:tc>
          <w:tcPr>
            <w:tcW w:w="3216" w:type="dxa"/>
            <w:shd w:val="clear" w:color="auto" w:fill="FBFCFE"/>
          </w:tcPr>
          <w:p w14:paraId="1AB6DF92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查看个人工时、负责项目、待办和提醒</w:t>
            </w:r>
          </w:p>
        </w:tc>
      </w:tr>
      <w:tr w14:paraId="092D3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7BDE6A6B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工时管理</w:t>
            </w:r>
          </w:p>
        </w:tc>
        <w:tc>
          <w:tcPr>
            <w:tcW w:w="3216" w:type="dxa"/>
          </w:tcPr>
          <w:p w14:paraId="75A2E0C2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我的工时 / 工时审批 / 工时看板 / 工时台账</w:t>
            </w:r>
          </w:p>
        </w:tc>
        <w:tc>
          <w:tcPr>
            <w:tcW w:w="3216" w:type="dxa"/>
          </w:tcPr>
          <w:p w14:paraId="755F1446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填报、审批和统计工时</w:t>
            </w:r>
          </w:p>
        </w:tc>
      </w:tr>
      <w:tr w14:paraId="5BA4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FBFCFE"/>
          </w:tcPr>
          <w:p w14:paraId="7D565342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项目管理</w:t>
            </w:r>
          </w:p>
        </w:tc>
        <w:tc>
          <w:tcPr>
            <w:tcW w:w="3216" w:type="dxa"/>
            <w:shd w:val="clear" w:color="auto" w:fill="FBFCFE"/>
          </w:tcPr>
          <w:p w14:paraId="323AF4EF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项目、合同、收款、付款、项目看板</w:t>
            </w:r>
          </w:p>
        </w:tc>
        <w:tc>
          <w:tcPr>
            <w:tcW w:w="3216" w:type="dxa"/>
            <w:shd w:val="clear" w:color="auto" w:fill="FBFCFE"/>
          </w:tcPr>
          <w:p w14:paraId="7E68F43D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维护项目经营数据</w:t>
            </w:r>
          </w:p>
        </w:tc>
      </w:tr>
      <w:tr w14:paraId="00C2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</w:tcPr>
          <w:p w14:paraId="59996623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系统管理</w:t>
            </w:r>
          </w:p>
        </w:tc>
        <w:tc>
          <w:tcPr>
            <w:tcW w:w="3216" w:type="dxa"/>
          </w:tcPr>
          <w:p w14:paraId="366B3B94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人员成本、集成与通知、管理员管理、基础配置</w:t>
            </w:r>
          </w:p>
        </w:tc>
        <w:tc>
          <w:tcPr>
            <w:tcW w:w="3216" w:type="dxa"/>
          </w:tcPr>
          <w:p w14:paraId="7CD54E51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维护敏感配置和系统权限</w:t>
            </w:r>
          </w:p>
        </w:tc>
      </w:tr>
    </w:tbl>
    <w:p w14:paraId="167A4B7C">
      <w:pPr>
        <w:spacing w:after="20"/>
      </w:pPr>
    </w:p>
    <w:p w14:paraId="116CBE17">
      <w:pPr>
        <w:pStyle w:val="3"/>
        <w:keepNext/>
      </w:pPr>
      <w:r>
        <w:t>2. 工作台</w:t>
      </w:r>
    </w:p>
    <w:p w14:paraId="268407F8"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工作台根据用户权限分为上下两部分：上方是项目负责人工作区，下方是员工工作区。没有项目负责人权限时，上方区域会自动隐藏。</w:t>
      </w:r>
    </w:p>
    <w:p w14:paraId="5C3DDA4D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1｜查看项目负责人区</w:t>
      </w:r>
    </w:p>
    <w:p w14:paraId="061B3768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上方区域查看负责项目数量、预算执行、已发生成本、工时审批、应收应付和项目预警。没有项目负责人权限时，此区域自动隐藏。</w:t>
      </w:r>
    </w:p>
    <w:p w14:paraId="46558624">
      <w:pPr>
        <w:spacing w:before="80" w:after="60"/>
        <w:jc w:val="center"/>
      </w:pPr>
      <w:r>
        <w:drawing>
          <wp:inline distT="0" distB="0" distL="114300" distR="114300">
            <wp:extent cx="4480560" cy="4755515"/>
            <wp:effectExtent l="0" t="0" r="10160" b="5080"/>
            <wp:docPr id="4" name="Picture 4" descr="图 4  工作台上方的项目负责人区" title="图 4  工作台上方的项目负责人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  工作台上方的项目负责人区" title="图 4  工作台上方的项目负责人区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5F64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  工作台上方的项目负责人区</w:t>
      </w:r>
    </w:p>
    <w:p w14:paraId="44F9CB0C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2｜查看员工区</w:t>
      </w:r>
    </w:p>
    <w:p w14:paraId="3526AB51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下方区域查看本月工时审批单据数量、审批中、已驳回、草稿和最近工时。点击最近工时的某一条会进入对应详情。</w:t>
      </w:r>
    </w:p>
    <w:p w14:paraId="3AEA5882">
      <w:pPr>
        <w:spacing w:before="80" w:after="60"/>
        <w:jc w:val="center"/>
      </w:pPr>
      <w:r>
        <w:drawing>
          <wp:inline distT="0" distB="0" distL="114300" distR="114300">
            <wp:extent cx="4480560" cy="4755515"/>
            <wp:effectExtent l="0" t="0" r="10160" b="5080"/>
            <wp:docPr id="5" name="Picture 5" descr="图 5  工作台下方的员工工时区" title="图 5  工作台下方的员工工时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  工作台下方的员工工时区" title="图 5  工作台下方的员工工时区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C5EF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  工作台下方的员工工时区</w:t>
      </w:r>
    </w:p>
    <w:p w14:paraId="766AA8DF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3｜处理快捷任务</w:t>
      </w:r>
    </w:p>
    <w:p w14:paraId="46FD4A7F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根据需要点击“填报工时”“工时审批”“增加收款”或“发起付款”。按钮是否显示由当前权限和项目类型决定。</w:t>
      </w:r>
    </w:p>
    <w:p w14:paraId="22DC7CB3">
      <w:pPr>
        <w:spacing w:before="80" w:after="60"/>
        <w:jc w:val="center"/>
      </w:pPr>
      <w:r>
        <w:drawing>
          <wp:inline distT="0" distB="0" distL="114300" distR="114300">
            <wp:extent cx="4480560" cy="4755515"/>
            <wp:effectExtent l="0" t="0" r="10160" b="5080"/>
            <wp:docPr id="6" name="Picture 6" descr="图 6  工作台快捷操作入口" title="图 6  工作台快捷操作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  工作台快捷操作入口" title="图 6  工作台快捷操作入口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67C9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  工作台快捷操作入口</w:t>
      </w:r>
    </w:p>
    <w:p w14:paraId="1F9EE586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4｜查看提醒</w:t>
      </w:r>
    </w:p>
    <w:p w14:paraId="6E5B9096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右侧提醒展示未来 30 天内到期、已逾期、预算接近/超支、人天接近/超支和待审批事项；点击事项可进入对应页面。</w:t>
      </w:r>
    </w:p>
    <w:p w14:paraId="3169FEED">
      <w:pPr>
        <w:spacing w:before="80" w:after="60"/>
        <w:jc w:val="center"/>
      </w:pPr>
      <w:r>
        <w:drawing>
          <wp:inline distT="0" distB="0" distL="114300" distR="114300">
            <wp:extent cx="4480560" cy="4755515"/>
            <wp:effectExtent l="0" t="0" r="10160" b="5080"/>
            <wp:docPr id="7" name="Picture 7" descr="图 7  工作台项目提醒列表" title="图 7  工作台项目提醒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7  工作台项目提醒列表" title="图 7  工作台项目提醒列表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7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35E7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7  工作台项目提醒列表</w:t>
      </w:r>
    </w:p>
    <w:p w14:paraId="50E5F105">
      <w:pPr>
        <w:pStyle w:val="3"/>
        <w:keepNext/>
      </w:pPr>
      <w:r>
        <w:t>3. 工时管理</w:t>
      </w:r>
    </w:p>
    <w:p w14:paraId="34426FE2">
      <w:pPr>
        <w:pStyle w:val="4"/>
        <w:keepNext/>
      </w:pPr>
      <w:r>
        <w:t>3.1 填报工时</w:t>
      </w:r>
    </w:p>
    <w:p w14:paraId="65AB9A25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1｜打开新增表单</w:t>
      </w:r>
    </w:p>
    <w:p w14:paraId="50C6513C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我的工时”，点击右上角“新增工时”，打开填报弹窗。</w:t>
      </w:r>
    </w:p>
    <w:p w14:paraId="3580B31C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8" name="Picture 8" descr="图 8  我的工时页面的新增入口" title="图 8  我的工时页面的新增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8  我的工时页面的新增入口" title="图 8  我的工时页面的新增入口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43C5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8  我的工时页面的新增入口</w:t>
      </w:r>
    </w:p>
    <w:p w14:paraId="28702CC3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2｜选择项目</w:t>
      </w:r>
    </w:p>
    <w:p w14:paraId="086F8E54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先选择项目类型，再选择项目。项目下拉框支持名称或编号筛选，只显示与所选类型匹配且允许填报的项目；项目选择不会带出审批人。</w:t>
      </w:r>
    </w:p>
    <w:p w14:paraId="3C4EBEE4">
      <w:pPr>
        <w:spacing w:before="80" w:after="60"/>
        <w:jc w:val="center"/>
      </w:pPr>
      <w:r>
        <w:drawing>
          <wp:inline distT="0" distB="0" distL="114300" distR="114300">
            <wp:extent cx="4480560" cy="2541905"/>
            <wp:effectExtent l="0" t="0" r="10160" b="5715"/>
            <wp:docPr id="9" name="Picture 9" descr="图 9  项目类型和项目选择" title="图 9  项目类型和项目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9  项目类型和项目选择" title="图 9  项目类型和项目选择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A14D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9  项目类型和项目选择</w:t>
      </w:r>
    </w:p>
    <w:p w14:paraId="65601116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3｜填写日期和工时</w:t>
      </w:r>
    </w:p>
    <w:p w14:paraId="34783841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填写开始日期和结束日期。系统按自然日计算天数，开始日期和结束日期必须在同一月份内，单位固定为天。</w:t>
      </w:r>
    </w:p>
    <w:p w14:paraId="786D90F7">
      <w:pPr>
        <w:spacing w:before="80" w:after="60"/>
        <w:jc w:val="center"/>
      </w:pPr>
      <w:r>
        <w:drawing>
          <wp:inline distT="0" distB="0" distL="114300" distR="114300">
            <wp:extent cx="4480560" cy="2541905"/>
            <wp:effectExtent l="0" t="0" r="10160" b="5715"/>
            <wp:docPr id="10" name="Picture 10" descr="图 10  开始日期、结束日期和工时" title="图 10  开始日期、结束日期和工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10  开始日期、结束日期和工时" title="图 10  开始日期、结束日期和工时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35DF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10  开始日期、结束日期和工时</w:t>
      </w:r>
    </w:p>
    <w:p w14:paraId="5F7CAE3D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4｜填写工作内容</w:t>
      </w:r>
    </w:p>
    <w:p w14:paraId="2849D0F3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选择工作阶段和工作状态，在“工作内容”中写清实际完成的事项、产出和需要跟进的问题。</w:t>
      </w:r>
    </w:p>
    <w:p w14:paraId="066F14E4">
      <w:pPr>
        <w:spacing w:before="80" w:after="60"/>
        <w:jc w:val="center"/>
      </w:pPr>
      <w:r>
        <w:drawing>
          <wp:inline distT="0" distB="0" distL="114300" distR="114300">
            <wp:extent cx="4480560" cy="2541905"/>
            <wp:effectExtent l="0" t="0" r="10160" b="5715"/>
            <wp:docPr id="11" name="Picture 11" descr="图 11  工作阶段和工作内容" title="图 11  工作阶段和工作内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 11  工作阶段和工作内容" title="图 11  工作阶段和工作内容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90A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11  工作阶段和工作内容</w:t>
      </w:r>
    </w:p>
    <w:p w14:paraId="71BBEF22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5｜保存或提交</w:t>
      </w:r>
    </w:p>
    <w:p w14:paraId="10565BF4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需要稍后继续时点击“保存草稿”；确认无误后点击“保存并提交”。提交后本条工时独立进入审批任务，并通知实际审批人。</w:t>
      </w:r>
    </w:p>
    <w:p w14:paraId="3AE6E028">
      <w:pPr>
        <w:spacing w:before="80" w:after="60"/>
        <w:jc w:val="center"/>
      </w:pPr>
      <w:r>
        <w:drawing>
          <wp:inline distT="0" distB="0" distL="114300" distR="114300">
            <wp:extent cx="4480560" cy="2541905"/>
            <wp:effectExtent l="0" t="0" r="10160" b="5715"/>
            <wp:docPr id="12" name="Picture 12" descr="图 12  保存草稿与提交审批" title="图 12  保存草稿与提交审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 12  保存草稿与提交审批" title="图 12  保存草稿与提交审批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AE47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12  保存草稿与提交审批</w:t>
      </w:r>
    </w:p>
    <w:p w14:paraId="4F84938E">
      <w:pPr>
        <w:pStyle w:val="4"/>
        <w:keepNext/>
      </w:pPr>
      <w:r>
        <w:t>3.2 工时校验和状态</w:t>
      </w:r>
    </w:p>
    <w:p w14:paraId="71F1A3D0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1｜检查日期规则</w:t>
      </w:r>
    </w:p>
    <w:p w14:paraId="5D85B3DE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单位固定为天，不计算小时；日期不能跨月，开始日期不能晚于结束日期。</w:t>
      </w:r>
    </w:p>
    <w:p w14:paraId="4E0D93CA">
      <w:pPr>
        <w:spacing w:before="80" w:after="60"/>
        <w:jc w:val="center"/>
      </w:pPr>
      <w:r>
        <w:drawing>
          <wp:inline distT="0" distB="0" distL="114300" distR="114300">
            <wp:extent cx="4480560" cy="2541905"/>
            <wp:effectExtent l="0" t="0" r="10160" b="5715"/>
            <wp:docPr id="13" name="Picture 13" descr="图 13  日期校验提示位置" title="图 13  日期校验提示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 13  日期校验提示位置" title="图 13  日期校验提示位置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4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62A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13  日期校验提示位置</w:t>
      </w:r>
    </w:p>
    <w:p w14:paraId="0DDFFC5D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2｜检查重复填报</w:t>
      </w:r>
    </w:p>
    <w:p w14:paraId="4C0FDCD2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同一人员同一天无论项目是否不同都不能重复填报；已有日期区间与新日期区间相交也会被拦截。</w:t>
      </w:r>
    </w:p>
    <w:p w14:paraId="4C2D3F1D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14" name="Picture 14" descr="图 14  已有工时记录和状态" title="图 14  已有工时记录和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 14  已有工时记录和状态" title="图 14  已有工时记录和状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CD46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14  已有工时记录和状态</w:t>
      </w:r>
    </w:p>
    <w:p w14:paraId="07C99849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3｜查看处理状态</w:t>
      </w:r>
    </w:p>
    <w:p w14:paraId="09D043F9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列表中的状态用于区分草稿、审批中、已通过和已驳回。草稿或驳回记录可进入编辑，审批中和已通过记录不能由普通用户直接改动。</w:t>
      </w:r>
    </w:p>
    <w:p w14:paraId="0A057301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15" name="Picture 15" descr="图 15  工时状态和查看入口" title="图 15  工时状态和查看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 15  工时状态和查看入口" title="图 15  工时状态和查看入口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4244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15  工时状态和查看入口</w:t>
      </w:r>
    </w:p>
    <w:p w14:paraId="7B62B3A9">
      <w:pPr>
        <w:pStyle w:val="4"/>
        <w:keepNext/>
      </w:pPr>
      <w:r>
        <w:t>3.3 工时审批</w:t>
      </w:r>
    </w:p>
    <w:p w14:paraId="2CB96BE0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1｜打开审批列表</w:t>
      </w:r>
    </w:p>
    <w:p w14:paraId="5D7E8A14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工时审批”，默认查看“待我审批”；点击“已审批”查看自己已经处理过的记录。</w:t>
      </w:r>
    </w:p>
    <w:p w14:paraId="600FFE2C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16" name="Picture 16" descr="图 16  工时审批页签" title="图 16  工时审批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图 16  工时审批页签" title="图 16  工时审批页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E4ED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16  工时审批页签</w:t>
      </w:r>
    </w:p>
    <w:p w14:paraId="3F77B74E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2｜打开工时详情</w:t>
      </w:r>
    </w:p>
    <w:p w14:paraId="4C0ADA02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点击工时记录的名称或“查看”，进入该条工时的完整详情，核对填报人、项目、日期、天数、工作描述和审批链。</w:t>
      </w:r>
    </w:p>
    <w:p w14:paraId="02A576F1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17" name="Picture 17" descr="图 17  工时审批记录入口" title="图 17  工时审批记录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图 17  工时审批记录入口" title="图 17  工时审批记录入口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E2AE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17  工时审批记录入口</w:t>
      </w:r>
    </w:p>
    <w:p w14:paraId="6A822A18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3｜通过或驳回</w:t>
      </w:r>
    </w:p>
    <w:p w14:paraId="77D7B64C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确认无误点击“通过”；需要修改时点击“驳回”并填写具体原因。审批完成后系统向申请人发送结果通知。</w:t>
      </w:r>
    </w:p>
    <w:p w14:paraId="567B2A30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18" name="Picture 18" descr="图 18  工时审批处理操作" title="图 18  工时审批处理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图 18  工时审批处理操作" title="图 18  工时审批处理操作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D734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18  工时审批处理操作</w:t>
      </w:r>
    </w:p>
    <w:p w14:paraId="192310F3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4｜确认统计更新</w:t>
      </w:r>
    </w:p>
    <w:p w14:paraId="51D8EA54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通过后刷新列表，项目已发生人天、人员成本、工作台和工时看板会按最新审批状态更新。</w:t>
      </w:r>
    </w:p>
    <w:p w14:paraId="4BF153C9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19" name="Picture 19" descr="图 19  审批结果和刷新后的状态" title="图 19  审批结果和刷新后的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图 19  审批结果和刷新后的状态" title="图 19  审批结果和刷新后的状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8969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19  审批结果和刷新后的状态</w:t>
      </w:r>
    </w:p>
    <w:p w14:paraId="584204EA">
      <w:pPr>
        <w:pStyle w:val="3"/>
        <w:keepNext/>
      </w:pPr>
      <w:r>
        <w:t>4. 项目管理</w:t>
      </w:r>
    </w:p>
    <w:p w14:paraId="18D79489"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项目管理主页面只展示项目主信息，经营数据进入项目详情或项目看板查看。项目新增和编辑均使用弹窗。</w:t>
      </w:r>
    </w:p>
    <w:p w14:paraId="408925E6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1｜打开项目管理</w:t>
      </w:r>
    </w:p>
    <w:p w14:paraId="6A0072A6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项目管理”。页面只展示项目名称、编号、状态、类型、负责人、部门、客户和是否允许填报等主信息。</w:t>
      </w:r>
    </w:p>
    <w:p w14:paraId="0D45BE34">
      <w:pPr>
        <w:spacing w:before="80" w:after="60"/>
        <w:jc w:val="center"/>
      </w:pPr>
      <w:r>
        <w:drawing>
          <wp:inline distT="0" distB="0" distL="114300" distR="114300">
            <wp:extent cx="4480560" cy="3291205"/>
            <wp:effectExtent l="0" t="0" r="10160" b="1270"/>
            <wp:docPr id="20" name="Picture 20" descr="图 20  项目管理列表" title="图 20  项目管理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图 20  项目管理列表" title="图 20  项目管理列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FD8B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20  项目管理列表</w:t>
      </w:r>
    </w:p>
    <w:p w14:paraId="511BD062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2｜设置筛选条件</w:t>
      </w:r>
    </w:p>
    <w:p w14:paraId="2A26959E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按项目类型、项目状态、项目部门、项目负责人、客户筛选；在标题输入框中输入项目名称或编号关键词。</w:t>
      </w:r>
    </w:p>
    <w:p w14:paraId="13204C8B">
      <w:pPr>
        <w:spacing w:before="80" w:after="60"/>
        <w:jc w:val="center"/>
      </w:pPr>
      <w:r>
        <w:drawing>
          <wp:inline distT="0" distB="0" distL="114300" distR="114300">
            <wp:extent cx="4480560" cy="3291205"/>
            <wp:effectExtent l="0" t="0" r="10160" b="1270"/>
            <wp:docPr id="21" name="Picture 21" descr="图 21  项目管理筛选区" title="图 21  项目管理筛选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图 21  项目管理筛选区" title="图 21  项目管理筛选区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B0F3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21  项目管理筛选区</w:t>
      </w:r>
    </w:p>
    <w:p w14:paraId="2ACE1231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3｜选择部门层级</w:t>
      </w:r>
    </w:p>
    <w:p w14:paraId="62EABA2A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打开项目部门下拉框后按组织树选择部门。选择上级部门会同时筛选该部门下的所有子部门；选中子部门则只筛选该子部门。</w:t>
      </w:r>
    </w:p>
    <w:p w14:paraId="3BFBEB71">
      <w:pPr>
        <w:spacing w:before="80" w:after="60"/>
        <w:jc w:val="center"/>
      </w:pPr>
      <w:r>
        <w:drawing>
          <wp:inline distT="0" distB="0" distL="114300" distR="114300">
            <wp:extent cx="4480560" cy="3291205"/>
            <wp:effectExtent l="0" t="0" r="10160" b="1270"/>
            <wp:docPr id="22" name="Picture 22" descr="图 22  项目部门层级选择" title="图 22  项目部门层级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图 22  项目部门层级选择" title="图 22  项目部门层级选择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3DD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22  项目部门层级选择</w:t>
      </w:r>
    </w:p>
    <w:p w14:paraId="111170A0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4｜查询和分页</w:t>
      </w:r>
    </w:p>
    <w:p w14:paraId="22A01B48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点击“查询”加载结果；点击“重置”清除条件。列表底部可以切换页码和每页条数。</w:t>
      </w:r>
    </w:p>
    <w:p w14:paraId="27E29271">
      <w:pPr>
        <w:spacing w:before="80" w:after="60"/>
        <w:jc w:val="center"/>
      </w:pPr>
      <w:r>
        <w:drawing>
          <wp:inline distT="0" distB="0" distL="114300" distR="114300">
            <wp:extent cx="4480560" cy="3291205"/>
            <wp:effectExtent l="0" t="0" r="10160" b="1270"/>
            <wp:docPr id="23" name="Picture 23" descr="图 23  项目列表查询和分页" title="图 23  项目列表查询和分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图 23  项目列表查询和分页" title="图 23  项目列表查询和分页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CDA1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23  项目列表查询和分页</w:t>
      </w:r>
    </w:p>
    <w:p w14:paraId="54C9A043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5｜查看或编辑项目</w:t>
      </w:r>
    </w:p>
    <w:p w14:paraId="5D2EE570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点击项目名称或“查看”进入项目详情；点击“编辑”打开弹窗修改主信息。保存后返回列表，列表数据自动刷新。</w:t>
      </w:r>
    </w:p>
    <w:p w14:paraId="7E839A55">
      <w:pPr>
        <w:spacing w:before="80" w:after="60"/>
        <w:jc w:val="center"/>
      </w:pPr>
      <w:r>
        <w:drawing>
          <wp:inline distT="0" distB="0" distL="114300" distR="114300">
            <wp:extent cx="4480560" cy="3291205"/>
            <wp:effectExtent l="0" t="0" r="10160" b="1270"/>
            <wp:docPr id="24" name="Picture 24" descr="图 24  项目查看和编辑入口" title="图 24  项目查看和编辑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图 24  项目查看和编辑入口" title="图 24  项目查看和编辑入口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E6E3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24  项目查看和编辑入口</w:t>
      </w:r>
    </w:p>
    <w:p w14:paraId="07E0E3DF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6｜查看预算和经营数据</w:t>
      </w:r>
    </w:p>
    <w:p w14:paraId="0EB20B8D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在项目详情的预算和经营页签查看预算人天、已发生人天、剩余人天、成本预算、已发生合同成本、预算剩余和执行率；这些已发生数据只读。</w:t>
      </w:r>
    </w:p>
    <w:p w14:paraId="7A61A502">
      <w:pPr>
        <w:spacing w:before="80" w:after="60"/>
        <w:jc w:val="center"/>
      </w:pPr>
      <w:r>
        <w:drawing>
          <wp:inline distT="0" distB="0" distL="114300" distR="114300">
            <wp:extent cx="4480560" cy="3291205"/>
            <wp:effectExtent l="0" t="0" r="10160" b="1270"/>
            <wp:docPr id="25" name="Picture 25" descr="图 25  项目预算信息入口" title="图 25  项目预算信息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图 25  项目预算信息入口" title="图 25  项目预算信息入口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E51A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25  项目预算信息入口</w:t>
      </w:r>
    </w:p>
    <w:p w14:paraId="497E8741">
      <w:pPr>
        <w:pStyle w:val="3"/>
        <w:keepNext/>
      </w:pPr>
      <w:r>
        <w:t>5. 合同与阶段</w:t>
      </w:r>
    </w:p>
    <w:p w14:paraId="5894B989">
      <w:pPr>
        <w:pStyle w:val="4"/>
        <w:keepNext/>
      </w:pPr>
      <w:r>
        <w:t>5.1 合同</w:t>
      </w:r>
    </w:p>
    <w:p w14:paraId="4E223E2E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1｜选择合同类型</w:t>
      </w:r>
    </w:p>
    <w:p w14:paraId="4F20D54B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项目合同”，点击“收入合同”查看客户合同，点击“支出合同”查看供应商合同。实施项目两类合同都可以建立。</w:t>
      </w:r>
    </w:p>
    <w:p w14:paraId="2DB46516">
      <w:pPr>
        <w:spacing w:before="80" w:after="60"/>
        <w:jc w:val="center"/>
      </w:pPr>
      <w:r>
        <w:drawing>
          <wp:inline distT="0" distB="0" distL="114300" distR="114300">
            <wp:extent cx="4480560" cy="3922395"/>
            <wp:effectExtent l="0" t="0" r="10160" b="6985"/>
            <wp:docPr id="26" name="Picture 26" descr="图 26  合同收入/支出页签" title="图 26  合同收入/支出页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图 26  合同收入/支出页签" title="图 26  合同收入/支出页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0AE2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26  合同收入/支出页签</w:t>
      </w:r>
    </w:p>
    <w:p w14:paraId="53C4FD7E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2｜新建合同</w:t>
      </w:r>
    </w:p>
    <w:p w14:paraId="77ADD7C0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点击“新增合同”，选择项目和客户/供应商，填写合同编号、名称、金额、签订日期和履约期间等核心信息。</w:t>
      </w:r>
    </w:p>
    <w:p w14:paraId="6A14C394">
      <w:pPr>
        <w:spacing w:before="80" w:after="60"/>
        <w:jc w:val="center"/>
      </w:pPr>
      <w:r>
        <w:drawing>
          <wp:inline distT="0" distB="0" distL="114300" distR="114300">
            <wp:extent cx="4480560" cy="3922395"/>
            <wp:effectExtent l="0" t="0" r="10160" b="6985"/>
            <wp:docPr id="27" name="Picture 27" descr="图 27  合同主信息区域" title="图 27  合同主信息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图 27  合同主信息区域" title="图 27  合同主信息区域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6AD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27  合同主信息区域</w:t>
      </w:r>
    </w:p>
    <w:p w14:paraId="329D286B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3｜上传附件或保存草稿</w:t>
      </w:r>
    </w:p>
    <w:p w14:paraId="6E3C08C1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在新建页面直接选择合同附件；资料不完整时点击“保存草稿”，后续可以继续编辑和补充附件。资料完整时保存为正式合同。</w:t>
      </w:r>
    </w:p>
    <w:p w14:paraId="6A39E204">
      <w:pPr>
        <w:spacing w:before="80" w:after="60"/>
        <w:jc w:val="center"/>
      </w:pPr>
      <w:r>
        <w:drawing>
          <wp:inline distT="0" distB="0" distL="114300" distR="114300">
            <wp:extent cx="4480560" cy="3922395"/>
            <wp:effectExtent l="0" t="0" r="10160" b="6985"/>
            <wp:docPr id="28" name="Picture 28" descr="图 28  合同附件和保存操作" title="图 28  合同附件和保存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图 28  合同附件和保存操作" title="图 28  合同附件和保存操作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D69A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28  合同附件和保存操作</w:t>
      </w:r>
    </w:p>
    <w:p w14:paraId="5095BFF3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4｜打开合同详情</w:t>
      </w:r>
    </w:p>
    <w:p w14:paraId="7459CE61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在合同列表点击合同名称，进入合同详情。详情页不需要额外点击即可看到合同主信息、结算率、收付款单笔数和全部阶段。</w:t>
      </w:r>
    </w:p>
    <w:p w14:paraId="32EA9C1F">
      <w:pPr>
        <w:spacing w:before="80" w:after="60"/>
        <w:jc w:val="center"/>
      </w:pPr>
      <w:r>
        <w:drawing>
          <wp:inline distT="0" distB="0" distL="114300" distR="114300">
            <wp:extent cx="4480560" cy="3922395"/>
            <wp:effectExtent l="0" t="0" r="10160" b="6985"/>
            <wp:docPr id="29" name="Picture 29" descr="图 29  合同详情概览" title="图 29  合同详情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图 29  合同详情概览" title="图 29  合同详情概览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86C2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29  合同详情概览</w:t>
      </w:r>
    </w:p>
    <w:p w14:paraId="35A1B5B4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5｜管理合同阶段</w:t>
      </w:r>
    </w:p>
    <w:p w14:paraId="5A6B0399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在阶段区域先查看阶段列表；只有点击“新增阶段”才打开新增弹窗。填写阶段名称、计划金额、计划日期和提醒规则。</w:t>
      </w:r>
    </w:p>
    <w:p w14:paraId="0A9A1FCE">
      <w:pPr>
        <w:spacing w:before="80" w:after="60"/>
        <w:jc w:val="center"/>
      </w:pPr>
      <w:r>
        <w:drawing>
          <wp:inline distT="0" distB="0" distL="114300" distR="114300">
            <wp:extent cx="4480560" cy="3922395"/>
            <wp:effectExtent l="0" t="0" r="10160" b="6985"/>
            <wp:docPr id="30" name="Picture 30" descr="图 30  合同阶段列表" title="图 30  合同阶段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图 30  合同阶段列表" title="图 30  合同阶段列表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7CC9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30  合同阶段列表</w:t>
      </w:r>
    </w:p>
    <w:p w14:paraId="168FE4EC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6｜查看阶段结算</w:t>
      </w:r>
    </w:p>
    <w:p w14:paraId="25469E80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阶段的已收/已付、剩余应收/应付和结算率由审批通过的收付款单自动计算；已发生收付款的阶段不能随意删除或调低计划金额。</w:t>
      </w:r>
    </w:p>
    <w:p w14:paraId="1562FFC6">
      <w:pPr>
        <w:spacing w:before="80" w:after="60"/>
        <w:jc w:val="center"/>
      </w:pPr>
      <w:r>
        <w:drawing>
          <wp:inline distT="0" distB="0" distL="114300" distR="114300">
            <wp:extent cx="4480560" cy="3922395"/>
            <wp:effectExtent l="0" t="0" r="10160" b="6985"/>
            <wp:docPr id="31" name="Picture 31" descr="图 31  阶段金额和结算状态" title="图 31  阶段金额和结算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图 31  阶段金额和结算状态" title="图 31  阶段金额和结算状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9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CA5A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31  阶段金额和结算状态</w:t>
      </w:r>
    </w:p>
    <w:p w14:paraId="7B022F9D">
      <w:pPr>
        <w:pStyle w:val="4"/>
        <w:keepNext/>
      </w:pPr>
      <w:r>
        <w:t>5.2 合同阶段</w:t>
      </w:r>
    </w:p>
    <w:p w14:paraId="56A69B82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点击“阶段”只查看阶段列表；点击“新增阶段”才打开新增弹窗，避免误操作。</w:t>
      </w:r>
    </w:p>
    <w:p w14:paraId="3129E4D0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阶段填写名称、计划金额、计划日期和提醒规则；阶段计划金额应与合同金额一致。</w:t>
      </w:r>
    </w:p>
    <w:p w14:paraId="0DF1F428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已收/已付、剩余应收/应付和结算率由已确认收付款自动计算。</w:t>
      </w:r>
    </w:p>
    <w:p w14:paraId="32952844">
      <w:pPr>
        <w:spacing w:before="80" w:after="60"/>
        <w:jc w:val="center"/>
      </w:pPr>
      <w:r>
        <w:drawing>
          <wp:inline distT="0" distB="0" distL="114300" distR="114300">
            <wp:extent cx="5303520" cy="4643120"/>
            <wp:effectExtent l="0" t="0" r="7620" b="9525"/>
            <wp:docPr id="32" name="Picture 32" descr="图 6  合同详情：合同主信息与阶段详情" title="图 6  合同详情：合同主信息与阶段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图 6  合同详情：合同主信息与阶段详情" title="图 6  合同详情：合同主信息与阶段详情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B59A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  合同详情：合同主信息与阶段详情</w:t>
      </w:r>
    </w:p>
    <w:p w14:paraId="16B1D58F">
      <w:pPr>
        <w:pStyle w:val="3"/>
        <w:keepNext/>
      </w:pPr>
      <w:r>
        <w:t>6. 收款单、付款单与出纳审批</w:t>
      </w:r>
    </w:p>
    <w:p w14:paraId="30E9AA84">
      <w:pPr>
        <w:pStyle w:val="4"/>
        <w:keepNext/>
      </w:pPr>
      <w:r>
        <w:t>6.1 新增收款单</w:t>
      </w:r>
    </w:p>
    <w:p w14:paraId="3FE1D1F1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1｜选择收入阶段</w:t>
      </w:r>
    </w:p>
    <w:p w14:paraId="412C59AE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点击“新增收款单”，依次选择项目、收入合同和有剩余应收的收入阶段。合同和阶段不匹配时不能提交。</w:t>
      </w:r>
    </w:p>
    <w:p w14:paraId="3FD77862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33" name="Picture 33" descr="图 32  收款单关联收入合同和阶段（界面示意）" title="图 32  收款单关联收入合同和阶段（界面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图 32  收款单关联收入合同和阶段（界面示意）" title="图 32  收款单关联收入合同和阶段（界面示意）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0EA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32  收款单关联收入合同和阶段（界面示意）</w:t>
      </w:r>
    </w:p>
    <w:p w14:paraId="03A8E463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2｜填写收款信息</w:t>
      </w:r>
    </w:p>
    <w:p w14:paraId="03D5F112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填写收款日期、金额、付款方名称、付款银行和付款账号。姓名、银行和账号均为必填项。</w:t>
      </w:r>
    </w:p>
    <w:p w14:paraId="38F00095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34" name="Picture 34" descr="图 33  收款方账户信息（界面示意）" title="图 33  收款方账户信息（界面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图 33  收款方账户信息（界面示意）" title="图 33  收款方账户信息（界面示意）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D7D9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33  收款方账户信息（界面示意）</w:t>
      </w:r>
    </w:p>
    <w:p w14:paraId="657308F4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3｜上传附件并校验金额</w:t>
      </w:r>
    </w:p>
    <w:p w14:paraId="1895A800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在表单中选择回单、合同或其他材料；确认本次金额不超过阶段剩余应收。</w:t>
      </w:r>
    </w:p>
    <w:p w14:paraId="7E479283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35" name="Picture 35" descr="图 34  收款单附件和金额校验（界面示意）" title="图 34  收款单附件和金额校验（界面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图 34  收款单附件和金额校验（界面示意）" title="图 34  收款单附件和金额校验（界面示意）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12DF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34  收款单附件和金额校验（界面示意）</w:t>
      </w:r>
    </w:p>
    <w:p w14:paraId="53F2D633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4｜提交出纳审批</w:t>
      </w:r>
    </w:p>
    <w:p w14:paraId="019D72F0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点击保存或提交审批。提交后，所有具备出纳审批权限的人员收到飞书通知。</w:t>
      </w:r>
    </w:p>
    <w:p w14:paraId="74C45300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36" name="Picture 36" descr="图 35  收款单提交审批（界面示意）" title="图 35  收款单提交审批（界面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图 35  收款单提交审批（界面示意）" title="图 35  收款单提交审批（界面示意）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FE8B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35  收款单提交审批（界面示意）</w:t>
      </w:r>
    </w:p>
    <w:p w14:paraId="6C6CA10B">
      <w:pPr>
        <w:pStyle w:val="4"/>
        <w:keepNext/>
      </w:pPr>
      <w:r>
        <w:t>6.2 新增付款单</w:t>
      </w:r>
    </w:p>
    <w:p w14:paraId="55377DE8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1｜选择支出阶段</w:t>
      </w:r>
    </w:p>
    <w:p w14:paraId="456320BB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点击“新增付款单”，依次选择项目、支出合同和有剩余应付的支出阶段。新增付款单不能选择收入合同。</w:t>
      </w:r>
    </w:p>
    <w:p w14:paraId="619CEAE0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37" name="Picture 37" descr="图 36  付款单关联支出合同和阶段（界面示意）" title="图 36  付款单关联支出合同和阶段（界面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图 36  付款单关联支出合同和阶段（界面示意）" title="图 36  付款单关联支出合同和阶段（界面示意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A99F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36  付款单关联支出合同和阶段（界面示意）</w:t>
      </w:r>
    </w:p>
    <w:p w14:paraId="7262B8C4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2｜带出并核对供应商账户</w:t>
      </w:r>
    </w:p>
    <w:p w14:paraId="2B29D874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选择供应商后系统自动带出收款方名称、收款银行和收款账号；提交前检查本单账户，必要时可修改，系统保存本单快照。</w:t>
      </w:r>
    </w:p>
    <w:p w14:paraId="31D971A1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38" name="Picture 38" descr="图 37  供应商收款账户（界面示意）" title="图 37  供应商收款账户（界面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图 37  供应商收款账户（界面示意）" title="图 37  供应商收款账户（界面示意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C3B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37  供应商收款账户（界面示意）</w:t>
      </w:r>
    </w:p>
    <w:p w14:paraId="4794B846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3｜填写付款信息和附件</w:t>
      </w:r>
    </w:p>
    <w:p w14:paraId="2DD496A3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填写付款日期、金额和付款账户信息，确认金额不超过阶段剩余应付，再选择付款凭证或合同附件。</w:t>
      </w:r>
    </w:p>
    <w:p w14:paraId="2188089B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39" name="Picture 39" descr="图 38  付款单金额和附件（界面示意）" title="图 38  付款单金额和附件（界面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图 38  付款单金额和附件（界面示意）" title="图 38  付款单金额和附件（界面示意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5E62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38  付款单金额和附件（界面示意）</w:t>
      </w:r>
    </w:p>
    <w:p w14:paraId="7B016096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4｜提交出纳审批</w:t>
      </w:r>
    </w:p>
    <w:p w14:paraId="5EB94544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点击保存或提交审批。提交后，所有具备出纳审批权限的人员收到飞书通知。</w:t>
      </w:r>
    </w:p>
    <w:p w14:paraId="441136CC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40" name="Picture 40" descr="图 39  付款单提交审批（界面示意）" title="图 39  付款单提交审批（界面示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图 39  付款单提交审批（界面示意）" title="图 39  付款单提交审批（界面示意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C1C3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39  付款单提交审批（界面示意）</w:t>
      </w:r>
    </w:p>
    <w:p w14:paraId="2342746D">
      <w:pPr>
        <w:pStyle w:val="4"/>
        <w:keepNext/>
      </w:pPr>
      <w:r>
        <w:t>6.3 出纳审批</w:t>
      </w:r>
    </w:p>
    <w:p w14:paraId="7D156F04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1｜进入待审批列表</w:t>
      </w:r>
    </w:p>
    <w:p w14:paraId="44A93C77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进入对应的项目收款或项目付款页面，查看“待我审批”列表。具备出纳审批权限的人员会收到飞书卡片。</w:t>
      </w:r>
    </w:p>
    <w:p w14:paraId="4F549260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41" name="Picture 41" descr="图 40  待审批单据列表" title="图 40  待审批单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图 40  待审批单据列表" title="图 40  待审批单据列表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52E9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40  待审批单据列表</w:t>
      </w:r>
    </w:p>
    <w:p w14:paraId="181A77CE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2｜打开单据详情</w:t>
      </w:r>
    </w:p>
    <w:p w14:paraId="365D678B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点击单据名称或“查看”，检查项目、合同、阶段、金额、收付款账户、附件和审批时间线。</w:t>
      </w:r>
    </w:p>
    <w:p w14:paraId="0AC1E6CF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42" name="Picture 42" descr="图 41  收付款单据详情入口" title="图 41  收付款单据详情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图 41  收付款单据详情入口" title="图 41  收付款单据详情入口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E486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41  收付款单据详情入口</w:t>
      </w:r>
    </w:p>
    <w:p w14:paraId="450392D8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3｜通过或驳回</w:t>
      </w:r>
    </w:p>
    <w:p w14:paraId="2F34AF54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确认无误点击“通过”；信息不完整时点击“驳回”并填写原因。系统记录实际审批人姓名，并向申请人发送结果通知。</w:t>
      </w:r>
    </w:p>
    <w:p w14:paraId="75A2A3D0">
      <w:pPr>
        <w:spacing w:before="80" w:after="60"/>
        <w:jc w:val="center"/>
      </w:pPr>
      <w:r>
        <w:drawing>
          <wp:inline distT="0" distB="0" distL="114300" distR="114300">
            <wp:extent cx="4480560" cy="2532380"/>
            <wp:effectExtent l="0" t="0" r="10160" b="4445"/>
            <wp:docPr id="43" name="Picture 43" descr="图 42  出纳审批处理" title="图 42  出纳审批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图 42  出纳审批处理" title="图 42  出纳审批处理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34A2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42  出纳审批处理</w:t>
      </w:r>
    </w:p>
    <w:p w14:paraId="7450AAAB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4｜核对经营结果</w:t>
      </w:r>
    </w:p>
    <w:p w14:paraId="7FF9706E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收款通过后增加已收、减少应收；付款通过后增加已付、减少应付并计入外部成本。已审批单据只能通过冲销修正。</w:t>
      </w:r>
    </w:p>
    <w:p w14:paraId="0B2FC0B6">
      <w:pPr>
        <w:spacing w:before="80" w:after="60"/>
        <w:jc w:val="center"/>
      </w:pPr>
      <w:r>
        <w:drawing>
          <wp:inline distT="0" distB="0" distL="114300" distR="114300">
            <wp:extent cx="4480560" cy="4624705"/>
            <wp:effectExtent l="0" t="0" r="10160" b="6350"/>
            <wp:docPr id="44" name="Picture 44" descr="图 43  审批通过后的项目经营更新" title="图 43  审批通过后的项目经营更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图 43  审批通过后的项目经营更新" title="图 43  审批通过后的项目经营更新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958D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43  审批通过后的项目经营更新</w:t>
      </w:r>
    </w:p>
    <w:p w14:paraId="506B8AF8">
      <w:pPr>
        <w:pStyle w:val="3"/>
        <w:keepNext/>
      </w:pPr>
      <w:r>
        <w:t>7. 工时看板与项目看板</w:t>
      </w:r>
    </w:p>
    <w:p w14:paraId="48169541">
      <w:pPr>
        <w:pStyle w:val="4"/>
        <w:keepNext/>
      </w:pPr>
      <w:r>
        <w:t>7.1 工时看板</w:t>
      </w:r>
    </w:p>
    <w:p w14:paraId="602C2D9A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1｜设置统计条件</w:t>
      </w:r>
    </w:p>
    <w:p w14:paraId="68E44BF1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进入“工时管理 &gt; 工时看板”，选择日期范围、一级部门、项目、项目类型、人员、阶段和审批状态。</w:t>
      </w:r>
    </w:p>
    <w:p w14:paraId="5F95C5A3">
      <w:pPr>
        <w:spacing w:before="80" w:after="60"/>
        <w:jc w:val="center"/>
      </w:pPr>
      <w:r>
        <w:drawing>
          <wp:inline distT="0" distB="0" distL="114300" distR="114300">
            <wp:extent cx="4480560" cy="4624705"/>
            <wp:effectExtent l="0" t="0" r="10160" b="6350"/>
            <wp:docPr id="45" name="Picture 45" descr="图 44  工时看板筛选区示意" title="图 44  工时看板筛选区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图 44  工时看板筛选区示意" title="图 44  工时看板筛选区示意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A1BF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44  工时看板筛选区示意</w:t>
      </w:r>
    </w:p>
    <w:p w14:paraId="7745CC38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2｜查询工时图表</w:t>
      </w:r>
    </w:p>
    <w:p w14:paraId="3A7E4C18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点击“查询”刷新数据。工时看板只展示工时指标，包括工时总量、填报人数、项目数、审批数量、趋势、排行和分布，不包含成本和资金。</w:t>
      </w:r>
    </w:p>
    <w:p w14:paraId="5C62F7DD">
      <w:pPr>
        <w:spacing w:before="80" w:after="60"/>
        <w:jc w:val="center"/>
      </w:pPr>
      <w:r>
        <w:drawing>
          <wp:inline distT="0" distB="0" distL="114300" distR="114300">
            <wp:extent cx="4480560" cy="4624705"/>
            <wp:effectExtent l="0" t="0" r="10160" b="6350"/>
            <wp:docPr id="46" name="Picture 46" descr="图 45  工时看板统计区示意" title="图 45  工时看板统计区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图 45  工时看板统计区示意" title="图 45  工时看板统计区示意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437B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45  工时看板统计区示意</w:t>
      </w:r>
    </w:p>
    <w:p w14:paraId="0DC79D37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3｜查看或导出明细</w:t>
      </w:r>
    </w:p>
    <w:p w14:paraId="07F9B6BD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点击图表或明细入口查看对应项目、人员和日期的工时记录；点击“导出明细”下载当前筛选条件下的明细文件。</w:t>
      </w:r>
    </w:p>
    <w:p w14:paraId="3CBAD866">
      <w:pPr>
        <w:spacing w:before="80" w:after="60"/>
        <w:jc w:val="center"/>
      </w:pPr>
      <w:r>
        <w:drawing>
          <wp:inline distT="0" distB="0" distL="114300" distR="114300">
            <wp:extent cx="4480560" cy="4624705"/>
            <wp:effectExtent l="0" t="0" r="10160" b="6350"/>
            <wp:docPr id="47" name="Picture 47" descr="图 46  工时看板明细和导出入口示意" title="图 46  工时看板明细和导出入口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图 46  工时看板明细和导出入口示意" title="图 46  工时看板明细和导出入口示意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376B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46  工时看板明细和导出入口示意</w:t>
      </w:r>
    </w:p>
    <w:p w14:paraId="4A8C8673">
      <w:pPr>
        <w:pStyle w:val="4"/>
        <w:keepNext/>
      </w:pPr>
      <w:r>
        <w:t>7.2 项目看板</w:t>
      </w:r>
    </w:p>
    <w:p w14:paraId="38CF8940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1｜选择项目范围</w:t>
      </w:r>
    </w:p>
    <w:p w14:paraId="68E72197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进入“项目管理 &gt; 项目看板”。默认查看“我的项目”；拥有全部项目权限的用户可以切换“全部项目”。</w:t>
      </w:r>
    </w:p>
    <w:p w14:paraId="6ACB7E7E">
      <w:pPr>
        <w:spacing w:before="80" w:after="60"/>
        <w:jc w:val="center"/>
      </w:pPr>
      <w:r>
        <w:drawing>
          <wp:inline distT="0" distB="0" distL="114300" distR="114300">
            <wp:extent cx="4480560" cy="4624705"/>
            <wp:effectExtent l="0" t="0" r="10160" b="6350"/>
            <wp:docPr id="48" name="Picture 48" descr="图 47  项目看板数据范围" title="图 47  项目看板数据范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图 47  项目看板数据范围" title="图 47  项目看板数据范围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E58D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47  项目看板数据范围</w:t>
      </w:r>
    </w:p>
    <w:p w14:paraId="796249CA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2｜筛选并查询</w:t>
      </w:r>
    </w:p>
    <w:p w14:paraId="4CA0A6F7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按项目类型、状态、部门、负责人、客户、项目和统计截止日期设置条件，点击“查询”刷新经营结果。</w:t>
      </w:r>
    </w:p>
    <w:p w14:paraId="536B0703">
      <w:pPr>
        <w:spacing w:before="80" w:after="60"/>
        <w:jc w:val="center"/>
      </w:pPr>
      <w:r>
        <w:drawing>
          <wp:inline distT="0" distB="0" distL="114300" distR="114300">
            <wp:extent cx="4480560" cy="4624705"/>
            <wp:effectExtent l="0" t="0" r="10160" b="6350"/>
            <wp:docPr id="49" name="Picture 49" descr="图 48  项目看板筛选区" title="图 48  项目看板筛选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图 48  项目看板筛选区" title="图 48  项目看板筛选区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5B70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48  项目看板筛选区</w:t>
      </w:r>
    </w:p>
    <w:p w14:paraId="07F01FAD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3｜读取经营指标</w:t>
      </w:r>
    </w:p>
    <w:p w14:paraId="5D4B7C0A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查看收入、总成本、应收、应付、已收、已付、毛利、毛利率、预算执行和预警。应收/应付只统计已到期阶段的未收/未付金额。</w:t>
      </w:r>
    </w:p>
    <w:p w14:paraId="05A86AB7">
      <w:pPr>
        <w:spacing w:before="80" w:after="60"/>
        <w:jc w:val="center"/>
      </w:pPr>
      <w:r>
        <w:drawing>
          <wp:inline distT="0" distB="0" distL="114300" distR="114300">
            <wp:extent cx="4480560" cy="4624705"/>
            <wp:effectExtent l="0" t="0" r="10160" b="6350"/>
            <wp:docPr id="50" name="Picture 50" descr="图 49  项目看板经营汇总" title="图 49  项目看板经营汇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图 49  项目看板经营汇总" title="图 49  项目看板经营汇总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A489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49  项目看板经营汇总</w:t>
      </w:r>
    </w:p>
    <w:p w14:paraId="74E23CD4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4｜下钻明细</w:t>
      </w:r>
    </w:p>
    <w:p w14:paraId="595D9FEC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点击项目、合同阶段、趋势、账龄或预警事项，进入项目详情、合同详情、收付款单或工时明细，核对指标来源。</w:t>
      </w:r>
    </w:p>
    <w:p w14:paraId="62D3BEBC">
      <w:pPr>
        <w:spacing w:before="80" w:after="60"/>
        <w:jc w:val="center"/>
      </w:pPr>
      <w:r>
        <w:drawing>
          <wp:inline distT="0" distB="0" distL="114300" distR="114300">
            <wp:extent cx="4480560" cy="4624705"/>
            <wp:effectExtent l="0" t="0" r="10160" b="6350"/>
            <wp:docPr id="51" name="Picture 51" descr="图 50  项目看板下钻入口" title="图 50  项目看板下钻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图 50  项目看板下钻入口" title="图 50  项目看板下钻入口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D2B6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50  项目看板下钻入口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8F3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F446"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4E69"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口径</w:t>
            </w:r>
          </w:p>
        </w:tc>
      </w:tr>
      <w:tr w14:paraId="6B8B0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FBFCFE"/>
          </w:tcPr>
          <w:p w14:paraId="639C09E0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应收</w:t>
            </w:r>
          </w:p>
        </w:tc>
        <w:tc>
          <w:tcPr>
            <w:tcW w:w="4824" w:type="dxa"/>
            <w:shd w:val="clear" w:color="auto" w:fill="FBFCFE"/>
          </w:tcPr>
          <w:p w14:paraId="77C44686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已到期收入阶段金额 - 该阶段已确认收款</w:t>
            </w:r>
          </w:p>
        </w:tc>
      </w:tr>
      <w:tr w14:paraId="7E5A7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699FE7BF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应付</w:t>
            </w:r>
          </w:p>
        </w:tc>
        <w:tc>
          <w:tcPr>
            <w:tcW w:w="4824" w:type="dxa"/>
          </w:tcPr>
          <w:p w14:paraId="0E9E1F4F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已到期支出阶段金额 - 该阶段已确认付款</w:t>
            </w:r>
          </w:p>
        </w:tc>
      </w:tr>
      <w:tr w14:paraId="44F66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FBFCFE"/>
          </w:tcPr>
          <w:p w14:paraId="6017179E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已收/已付</w:t>
            </w:r>
          </w:p>
        </w:tc>
        <w:tc>
          <w:tcPr>
            <w:tcW w:w="4824" w:type="dxa"/>
            <w:shd w:val="clear" w:color="auto" w:fill="FBFCFE"/>
          </w:tcPr>
          <w:p w14:paraId="2EDEAA42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审批通过且未冲销的收付款单</w:t>
            </w:r>
          </w:p>
        </w:tc>
      </w:tr>
      <w:tr w14:paraId="1CC98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645952C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总成本</w:t>
            </w:r>
          </w:p>
        </w:tc>
        <w:tc>
          <w:tcPr>
            <w:tcW w:w="4824" w:type="dxa"/>
          </w:tcPr>
          <w:p w14:paraId="39564D25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已审批工时人员成本 + 已确认外部付款成本</w:t>
            </w:r>
          </w:p>
        </w:tc>
      </w:tr>
      <w:tr w14:paraId="17C3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shd w:val="clear" w:color="auto" w:fill="FBFCFE"/>
          </w:tcPr>
          <w:p w14:paraId="2C88E808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毛利</w:t>
            </w:r>
          </w:p>
        </w:tc>
        <w:tc>
          <w:tcPr>
            <w:tcW w:w="4824" w:type="dxa"/>
            <w:shd w:val="clear" w:color="auto" w:fill="FBFCFE"/>
          </w:tcPr>
          <w:p w14:paraId="736FE276"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8"/>
              </w:rPr>
              <w:t>已收 - 总成本</w:t>
            </w:r>
          </w:p>
        </w:tc>
      </w:tr>
    </w:tbl>
    <w:p w14:paraId="599F1B3F">
      <w:pPr>
        <w:spacing w:after="20"/>
      </w:pPr>
    </w:p>
    <w:p w14:paraId="426FA207">
      <w:pPr>
        <w:spacing w:before="80" w:after="60"/>
        <w:jc w:val="center"/>
      </w:pPr>
      <w:r>
        <w:drawing>
          <wp:inline distT="0" distB="0" distL="114300" distR="114300">
            <wp:extent cx="5303520" cy="5474335"/>
            <wp:effectExtent l="0" t="0" r="7620" b="9525"/>
            <wp:docPr id="52" name="Picture 52" descr="图 7  项目看板：经营指标、趋势和预警" title="图 7  项目看板：经营指标、趋势和预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图 7  项目看板：经营指标、趋势和预警" title="图 7  项目看板：经营指标、趋势和预警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7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9901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7  项目看板：经营指标、趋势和预警</w:t>
      </w:r>
    </w:p>
    <w:p w14:paraId="5A36A008">
      <w:pPr>
        <w:pStyle w:val="3"/>
        <w:keepNext/>
      </w:pPr>
      <w:r>
        <w:t>8. 系统管理</w:t>
      </w:r>
    </w:p>
    <w:p w14:paraId="0C3222E7">
      <w:pPr>
        <w:pStyle w:val="4"/>
        <w:keepNext/>
      </w:pPr>
      <w:r>
        <w:t>8.1 人员成本</w:t>
      </w:r>
    </w:p>
    <w:p w14:paraId="3C78553D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1｜打开人员成本</w:t>
      </w:r>
    </w:p>
    <w:p w14:paraId="163D1F9E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人员成本”。该菜单只对具备对应权限的用户显示。</w:t>
      </w:r>
    </w:p>
    <w:p w14:paraId="0F2CB8FD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53" name="Picture 53" descr="图 51  系统管理菜单和人员成本入口示意" title="图 51  系统管理菜单和人员成本入口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图 51  系统管理菜单和人员成本入口示意" title="图 51  系统管理菜单和人员成本入口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993D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51  系统管理菜单和人员成本入口示意</w:t>
      </w:r>
    </w:p>
    <w:p w14:paraId="741B5D59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2｜筛选人员</w:t>
      </w:r>
    </w:p>
    <w:p w14:paraId="235AF31F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按部门和人员筛选目标人员；部门筛选支持组织层级，选择上级部门会包含下级部门。</w:t>
      </w:r>
    </w:p>
    <w:p w14:paraId="2E0BBDAF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54" name="Picture 54" descr="图 52  人员成本筛选示意" title="图 52  人员成本筛选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图 52  人员成本筛选示意" title="图 52  人员成本筛选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B02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52  人员成本筛选示意</w:t>
      </w:r>
    </w:p>
    <w:p w14:paraId="6196F19B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3｜维护单天成本</w:t>
      </w:r>
    </w:p>
    <w:p w14:paraId="43D842B7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在人员行中填写单天成本并保存。后续审批通过的工时使用该成本生成成本快照，历史已生成成本不自动重算。</w:t>
      </w:r>
    </w:p>
    <w:p w14:paraId="4A3C3669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55" name="Picture 55" descr="图 53  人员成本维护示意" title="图 53  人员成本维护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图 53  人员成本维护示意" title="图 53  人员成本维护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30C4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53  人员成本维护示意</w:t>
      </w:r>
    </w:p>
    <w:p w14:paraId="1AE9A7B6">
      <w:pPr>
        <w:pStyle w:val="4"/>
        <w:keepNext/>
      </w:pPr>
      <w:r>
        <w:t>8.2 集成与通知</w:t>
      </w:r>
    </w:p>
    <w:p w14:paraId="561593C2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1｜检查飞书连接</w:t>
      </w:r>
    </w:p>
    <w:p w14:paraId="295E732D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集成与通知”，查看连接状态、组织人数、最近同步时间和通知状态。</w:t>
      </w:r>
    </w:p>
    <w:p w14:paraId="42B260CC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56" name="Picture 56" descr="图 54  集成与通知入口示意" title="图 54  集成与通知入口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图 54  集成与通知入口示意" title="图 54  集成与通知入口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5FB9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54  集成与通知入口示意</w:t>
      </w:r>
    </w:p>
    <w:p w14:paraId="21E69DAD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2｜同步组织架构</w:t>
      </w:r>
    </w:p>
    <w:p w14:paraId="1992C5B5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点击“同步组织架构”发起同步；同步完成后查看新增/更新人员和部门统计以及同步记录。该功能仅管理员可见。</w:t>
      </w:r>
    </w:p>
    <w:p w14:paraId="31777AC2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57" name="Picture 57" descr="图 55  组织架构同步入口示意" title="图 55  组织架构同步入口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图 55  组织架构同步入口示意" title="图 55  组织架构同步入口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C8E4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55  组织架构同步入口示意</w:t>
      </w:r>
    </w:p>
    <w:p w14:paraId="061A7E14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3｜统一保存通知策略</w:t>
      </w:r>
    </w:p>
    <w:p w14:paraId="10AA778C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点击页面右上角“修改”，在弹窗中一次性调整各类通知的开关、接收人和发送渠道，点击“统一保存”。</w:t>
      </w:r>
    </w:p>
    <w:p w14:paraId="61B2B515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58" name="Picture 58" descr="图 56  通知策略修改入口示意" title="图 56  通知策略修改入口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图 56  通知策略修改入口示意" title="图 56  通知策略修改入口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1D1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56  通知策略修改入口示意</w:t>
      </w:r>
    </w:p>
    <w:p w14:paraId="260C2D63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4｜查看失败通知</w:t>
      </w:r>
    </w:p>
    <w:p w14:paraId="15EA3F04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切换到通知中心，按接收人、业务对象和发送状态筛选；打开失败记录查看原因，点击“重试”重新发送。</w:t>
      </w:r>
    </w:p>
    <w:p w14:paraId="1B2E6106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59" name="Picture 59" descr="图 57  通知中心和重试入口示意" title="图 57  通知中心和重试入口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图 57  通知中心和重试入口示意" title="图 57  通知中心和重试入口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7486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57  通知中心和重试入口示意</w:t>
      </w:r>
    </w:p>
    <w:p w14:paraId="2F8ACC8B">
      <w:pPr>
        <w:pStyle w:val="4"/>
        <w:keepNext/>
      </w:pPr>
      <w:r>
        <w:t>8.3 管理员管理</w:t>
      </w:r>
    </w:p>
    <w:p w14:paraId="3E1160CB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1｜创建或选择角色</w:t>
      </w:r>
    </w:p>
    <w:p w14:paraId="5ECBFDED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进入“系统管理 &gt; 管理员管理”，创建角色或选择已有角色。系统初始只保留系统管理员，其他角色由管理员重新配置。</w:t>
      </w:r>
    </w:p>
    <w:p w14:paraId="129E267F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60" name="Picture 60" descr="图 58  管理员管理入口示意" title="图 58  管理员管理入口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图 58  管理员管理入口示意" title="图 58  管理员管理入口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3D27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58  管理员管理入口示意</w:t>
      </w:r>
    </w:p>
    <w:p w14:paraId="1694C0A6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2｜配置菜单和操作</w:t>
      </w:r>
    </w:p>
    <w:p w14:paraId="4D1DB680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为角色勾选需要开放的一级模块、菜单和业务操作，例如审批、编辑、删除、导出、附件、同步组织和修改配置。</w:t>
      </w:r>
    </w:p>
    <w:p w14:paraId="4B32E803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61" name="Picture 61" descr="图 59  角色菜单和操作权限示意" title="图 59  角色菜单和操作权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图 59  角色菜单和操作权限示意" title="图 59  角色菜单和操作权限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868D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59  角色菜单和操作权限示意</w:t>
      </w:r>
    </w:p>
    <w:p w14:paraId="5EA900A8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3｜配置数据范围</w:t>
      </w:r>
    </w:p>
    <w:p w14:paraId="4F029F19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为角色选择本人负责项目、指定部门及下级部门或全部项目。没有全部项目权限时，用户看不到其他范围的数据。</w:t>
      </w:r>
    </w:p>
    <w:p w14:paraId="0E7C7B4D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62" name="Picture 62" descr="图 60  数据访问范围示意" title="图 60  数据访问范围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图 60  数据访问范围示意" title="图 60  数据访问范围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AF38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60  数据访问范围示意</w:t>
      </w:r>
    </w:p>
    <w:p w14:paraId="7F8A0C99">
      <w:pPr>
        <w:spacing w:before="80" w:after="40" w:line="300" w:lineRule="auto"/>
      </w:pPr>
      <w:r>
        <w:rPr>
          <w:rFonts w:ascii="Microsoft YaHei" w:hAnsi="Microsoft YaHei" w:eastAsia="Microsoft YaHei"/>
          <w:b/>
          <w:color w:val="1F4D78"/>
          <w:sz w:val="22"/>
        </w:rPr>
        <w:t>步骤 4｜授权并验证</w:t>
      </w:r>
    </w:p>
    <w:p w14:paraId="56A1EBC0"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0"/>
        </w:rPr>
        <w:t>将角色绑定到飞书组织人员，保存后让用户重新加载系统，检查菜单是否按权限显示。授权变更会写入审计记录。</w:t>
      </w:r>
    </w:p>
    <w:p w14:paraId="516A076B">
      <w:pPr>
        <w:spacing w:before="80" w:after="60"/>
        <w:jc w:val="center"/>
      </w:pPr>
      <w:r>
        <w:drawing>
          <wp:inline distT="0" distB="0" distL="114300" distR="114300">
            <wp:extent cx="4480560" cy="2743835"/>
            <wp:effectExtent l="0" t="0" r="10160" b="8890"/>
            <wp:docPr id="63" name="Picture 63" descr="图 61  人员授权和验证示意" title="图 61  人员授权和验证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图 61  人员授权和验证示意" title="图 61  人员授权和验证示意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74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4E72">
      <w:pPr>
        <w:spacing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>图 61  人员授权和验证示意</w:t>
      </w:r>
    </w:p>
    <w:p w14:paraId="63F75883">
      <w:pPr>
        <w:pStyle w:val="4"/>
        <w:keepNext/>
      </w:pPr>
      <w:r>
        <w:t>8.4 基础配置</w:t>
      </w:r>
    </w:p>
    <w:p w14:paraId="7FB366FA"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基础配置维护项目类型、项目状态、执行状态、工时类型、合同分类、收付款方式和提醒策略等动态下拉选项。已被业务数据引用的选项不能删除，只能停用。</w:t>
      </w:r>
    </w:p>
    <w:p w14:paraId="2DAFBFBC">
      <w:pPr>
        <w:pStyle w:val="3"/>
        <w:keepNext/>
      </w:pPr>
      <w:r>
        <w:t>9. 提醒、通知与权限</w:t>
      </w:r>
    </w:p>
    <w:p w14:paraId="4CE565E1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合同阶段未来 30 天内到期、已到期未收/未付时，工作台展示提醒，系统按策略发送飞书消息。</w:t>
      </w:r>
    </w:p>
    <w:p w14:paraId="784466CC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成本预算或人天预算接近/超过阈值时，项目负责人收到预警。</w:t>
      </w:r>
    </w:p>
    <w:p w14:paraId="70A155DD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待审批工时、收款单和付款单通知实际审批人；审批结果通知申请人。</w:t>
      </w:r>
    </w:p>
    <w:p w14:paraId="5BEDD1AE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通知记录包含接收人、业务对象、发送状态、失败原因、重试次数和飞书消息 ID。</w:t>
      </w:r>
    </w:p>
    <w:p w14:paraId="56B13A0B">
      <w:pPr>
        <w:pStyle w:val="16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F2937"/>
          <w:sz w:val="21"/>
        </w:rPr>
        <w:t>项目数据范围支持本人负责项目、指定部门及下级部门、全部项目。没有全部项目权限时，前端和接口都不会返回全量数据。</w:t>
      </w:r>
    </w:p>
    <w:p w14:paraId="6386151B">
      <w:pPr>
        <w:pStyle w:val="3"/>
        <w:keepNext/>
      </w:pPr>
      <w:r>
        <w:t>10. 常见问题与安全提示</w:t>
      </w:r>
    </w:p>
    <w:p w14:paraId="7FF52BC9">
      <w:pPr>
        <w:pStyle w:val="4"/>
        <w:keepNext/>
      </w:pPr>
      <w:r>
        <w:t>10.1 看不到项目</w:t>
      </w:r>
    </w:p>
    <w:p w14:paraId="5D685831"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确认管理员是否完成组织同步、项目负责人是否正确绑定飞书用户、当前账号是否有项目菜单和对应数据范围。选择部门时，上级部门会包含下级部门。</w:t>
      </w:r>
    </w:p>
    <w:p w14:paraId="01350AC9">
      <w:pPr>
        <w:pStyle w:val="4"/>
        <w:keepNext/>
      </w:pPr>
      <w:r>
        <w:t>10.2 工时提交失败</w:t>
      </w:r>
    </w:p>
    <w:p w14:paraId="4F41303B"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依次检查是否跨月、同日已有填报、日期区间重叠、项目是否允许填报、项目类型是否匹配以及工作描述是否为空。</w:t>
      </w:r>
    </w:p>
    <w:p w14:paraId="47897A38">
      <w:pPr>
        <w:pStyle w:val="4"/>
        <w:keepNext/>
      </w:pPr>
      <w:r>
        <w:t>10.3 飞书没有收到通知</w:t>
      </w:r>
    </w:p>
    <w:p w14:paraId="385DFE15"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F2937"/>
          <w:sz w:val="21"/>
        </w:rPr>
        <w:t>检查应用是否发布、组织是否已同步、应用消息权限是否开通，以及集成与通知中的通知策略和通知记录。通知失败不会回滚已经完成的本地审批。</w:t>
      </w:r>
    </w:p>
    <w:p w14:paraId="4012CFAC">
      <w:pPr>
        <w:pStyle w:val="16"/>
        <w:numPr>
          <w:numId w:val="0"/>
        </w:numPr>
        <w:spacing w:after="80" w:line="300" w:lineRule="auto"/>
        <w:ind w:left="269" w:leftChars="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152" w:right="1296" w:bottom="1080" w:left="1296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31F42">
    <w:pPr>
      <w:pStyle w:val="24"/>
      <w:spacing w:before="0"/>
      <w:jc w:val="center"/>
    </w:pPr>
    <w:r>
      <w:rPr>
        <w:rFonts w:ascii="Microsoft YaHei" w:hAnsi="Microsoft YaHei" w:eastAsia="Microsoft YaHei"/>
        <w:color w:val="667085"/>
        <w:sz w:val="17"/>
      </w:rPr>
      <w:t xml:space="preserve">文档版本 v3.0.29 | 页码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85D61">
    <w:pPr>
      <w:pStyle w:val="25"/>
      <w:spacing w:after="0"/>
      <w:jc w:val="right"/>
    </w:pPr>
    <w:r>
      <w:rPr>
        <w:rFonts w:ascii="Microsoft YaHei" w:hAnsi="Microsoft YaHei" w:eastAsia="Microsoft YaHei"/>
        <w:color w:val="667085"/>
        <w:sz w:val="17"/>
      </w:rPr>
      <w:t>综合项目管理系统 | 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E71DFA"/>
    <w:rsid w:val="3C025A83"/>
    <w:rsid w:val="5A2E3A23"/>
    <w:rsid w:val="6999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4338</Words>
  <Characters>4439</Characters>
  <Lines>0</Lines>
  <Paragraphs>0</Paragraphs>
  <TotalTime>2</TotalTime>
  <ScaleCrop>false</ScaleCrop>
  <LinksUpToDate>false</LinksUpToDate>
  <CharactersWithSpaces>4706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杨阳</cp:lastModifiedBy>
  <dcterms:modified xsi:type="dcterms:W3CDTF">2026-09-03T08:11:55Z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eyJoZGlkIjoiYTczMmI5YzI1ZGIzNjc2MGU2MDA0NDM1ZWY5YzllZTgiLCJ1c2VySWQiOiIzNjQwNjQzMjAifQ==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6D9C8F024C114A47B86228125E4E9A76_12</vt:lpwstr>
  </property>
</Properties>
</file>