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Microsoft YaHei" w:hAnsi="Microsoft YaHei" w:eastAsia="Microsoft YaHei"/>
          <w:b/>
          <w:color w:val="0B2346"/>
          <w:sz w:val="48"/>
        </w:rPr>
        <w:t>乾融｜产业数字金融运营平台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A3B67"/>
          <w:sz w:val="44"/>
        </w:rPr>
        <w:t>产品需求手册</w:t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24"/>
        </w:rPr>
        <w:t>V6.5.9.4.R11.3.3｜说明卡去除与指标左右排版修复版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15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文档项</w:t>
            </w:r>
          </w:p>
        </w:tc>
        <w:tc>
          <w:tcPr>
            <w:tcW w:type="dxa" w:w="6350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产品名称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乾融｜产业数字金融运营平台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文档类型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产品需求手册 / PRD 基线版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版本基线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V6.5.9.4.R11.3.3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适用对象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产品、研发、测试、实施、运营、管理层演示与项目交付团队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核心原则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中区主画布优先；操作版不放说明卡；右侧任务中心抽屉化；三窗能力保留；乾信不改动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生成日期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2026-07-07</w:t>
            </w:r>
          </w:p>
        </w:tc>
      </w:tr>
    </w:tbl>
    <w:p/>
    <w:p/>
    <w:p>
      <w:pPr>
        <w:jc w:val="center"/>
      </w:pPr>
      <w:r>
        <w:rPr>
          <w:rFonts w:ascii="Microsoft YaHei" w:hAnsi="Microsoft YaHei" w:eastAsia="Microsoft YaHei"/>
          <w:color w:val="4B5563"/>
          <w:sz w:val="22"/>
        </w:rPr>
        <w:t>深圳泰乾数字科技有限公司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版本说明与阅读提示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本手册以“乾融｜产业数字金融运营平台｜操作版 V6.5.9.4.R11.3.3”为当前产品需求基线，面向产品、研发、测试、实施与运营团队，用于统一乾融后续迭代、PRD 拆分、验收测试和项目交付口径。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本版不是新增大入口版本，而是对前序版本的稳定收口：以小屏显示适配、中区主画布优先、说明卡去除、指标左右排版、右侧任务中心抽屉化、三入口路由门禁为核心。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680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乾融操作版、三入口联动基线、笔记本显示适配、任务中心抽屉、指标左右排版、三窗/平铺能力、实施与验收门禁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不包含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乾信展厅演示版改动、业务域主画布重写、系统与审计入口深度接入、完整后端接口设计、数据库物理模型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强制边界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如后续版本出现冲突，以 V6.5.9.4.R11.3.3 的操作版布局、门禁规则和乾信不改原则为准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一、产品定位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乾融是泰乾数科“4+1”产品体系中的产业数字金融运营平台，定位为多产业场景、多银行资金、多融资产品、多运营角色协同的一体化作业系统。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乾融不再是单一项目后台，也不是简单的菜单集合，而是将真实业务系统中的客户、项目、合同、商品、质押、融资、风险、计费与审计能力抽象为统一平台作业能力。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80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产品定位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业务定位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面向供应链金融项目的融资运营、风险治理、银行协同、计费结算与作业效率平台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系统定位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融合多个真实项目场景的统一作业系统，而非每个项目一个后台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运营定位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服务泰乾运营负责人、银行协同岗、风险复核岗、项目运营岗与客户运营岗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技术定位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以平台入口、业务域入口、二级作业资产、中区主画布、右侧任务中心和三窗能力构成统一操作框架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展示定位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兼顾真实作业和演示表达，但操作版不得牺牲作业效率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二、核心用户与权限边界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587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45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45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核心权限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运营负责人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统筹项目融资、银行反馈、任务分派、经营复盘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融资运营 / 银行协同 / 风险复核 / 计费结算查看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融资运营岗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处理融资申请、资料校验、放款确认、回款跟踪、贷后监测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融资运营全流程操作 / 任务处理 / 输出物生成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银行协同岗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处理银行接口、银行反馈、补材料、回执与二次提交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银行协同 / 融资材料包 / 接口回执 / 银行反馈处理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风险复核岗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处理风险事件、货值预警、贷后预警、复核意见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风险与货值 / 风险复核 / 处置任务 / 审计归档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财务运营岗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处理客户费用、服务费规则、对账、预付款和收益统计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计费结算 / 对账单 / 费用统计 / 项目收益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系统管理员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用户、权限、菜单、参数、接口日志、系统审计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系统与审计 / 租户 / 权限 / 日志 / 参数配置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三、总体信息架构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乾融操作版采用“双入口隔离 + 二级作业资产 + 中区主画布 + 右侧任务中心 + 多窗并行作业”的总体结构。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结构层</w:t>
            </w:r>
          </w:p>
        </w:tc>
        <w:tc>
          <w:tcPr>
            <w:tcW w:type="dxa" w:w="3005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79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顶部平台一级入口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面向平台功能后台和业务工作台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横向滚动；小屏不换行压缩主画布；入口不分层但可分组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左侧五大业务域入口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面向业务域理解与运营观察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业务域点击不得覆盖平台入口逻辑；业务域主画布按既定方案回归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当前业务节点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显示当前入口和二级作业资产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不能显示说明卡；只显示当前作业路径和二级资产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中区主作业画布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核心操作区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必须可筛选、可录入、可校验、可提交、可生成任务、可联动三窗和输出物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右侧综合任务中心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待办/预警/异常/输出物调度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小屏默认抽屉化；不固定挤压中区；不得显示说明性模块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三窗/平铺/悬浮能力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多对象并行作业框架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保留悬浮、平铺、放大、还原、最大化、一键关闭和任务联动打开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四、平台一级入口规划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V6.5.9.4.R11.3.3 版本中，平台一级入口结构保持 12 个主入口，当前已深度稳定收口三入口：融资运营、风险与货值、计费结算。其他入口作为后续接入对象，必须遵守本版门禁规则。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一级入口</w:t>
            </w:r>
          </w:p>
        </w:tc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4536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中区定位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工作台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已接入基础工作台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运营总控台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产业 / 项目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已接入基础工作台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多场景项目管理工作台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主体准入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已接入基础工作台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项目主体关系与准入作业台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客商管理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已接入基础工作台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客商关系与主体标签作业台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交易合同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已接入基础工作台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交易真实性核验工作台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商品仓储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已接入基础工作台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货物资产流转作业台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资产质押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已接入基础工作台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质押资产管理与风险联动作业台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金融产品与授信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已接入基础工作台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金融产品与银行规则工厂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融资运营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三入口稳定基线之一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融资全流程作业主线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风险与货值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三入口稳定基线之一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数字信用风险与货值治理工作台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计费结算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三入口稳定基线之一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泰乾服务费与项目收益核算作业台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系统与审计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待后续接入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平台底座管理与审计工作台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五、五大业务域入口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业务域入口用于业务理解、运营观察和穿透理解，平台一级入口用于操作、功能后台和业务工作台。两者必须隔离，不得互相覆盖。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业务域</w:t>
            </w:r>
          </w:p>
        </w:tc>
        <w:tc>
          <w:tcPr>
            <w:tcW w:type="dxa" w:w="3402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3402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客户画像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项目主体数字信用作业台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以客户/主体信用画像为主，侧重观察和穿透理解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融资运营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融资运营流水线与银行协同工作台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强调融资流水、节点、银行反馈与任务流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金融产品工厂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金融产品配置与发布工厂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强调产品、授信、规则包和银行要求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风险治理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风险治理作业台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强调风险识别、预警、复核、处置和审计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银行协同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银行协同作业台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强调接口、反馈、材料、回执与二次提交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六、当前稳定三入口需求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0A3B67"/>
          <w:sz w:val="27"/>
        </w:rPr>
        <w:t>6.1 融资运营入口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融资运营入口承担融资全流程作业主线，覆盖融资申请、资料校验、银行推送、反馈处理、放款确认、受托支付、回款跟踪和贷后监测。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7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二级资产</w:t>
            </w:r>
          </w:p>
        </w:tc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主要对象</w:t>
            </w:r>
          </w:p>
        </w:tc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核心动作</w:t>
            </w:r>
          </w:p>
        </w:tc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输出物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融资列表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融资单、客户、银行、项目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筛选、跟进、分派、查看详情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融资申请清单、融资进度台账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融资申请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申请主体、用途、金额、产品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建单、校验、提交、生成任务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融资申请单、资料缺失清单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融资详情工作台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融资字段、影像、合同、资产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字段反查、影像校验、三窗处理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融资详情主表、字段反查记录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授信资料包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银行材料、字段、影像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生成资料包、推送银行、补材料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银行授信资料包、材料缺口清单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放款确认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审批结果、放款金额、银行回执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确认放款、异常回执处理、归档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放款确认单、银行回执记录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受托支付确认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一次受托、二次受托、支付路径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核验路径、闭环确认、审计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受托支付核验记录、闭环记录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回款跟踪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应回款、实际回款、账期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跟踪、预警、催收任务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回款跟踪表、逾期关注清单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贷后监测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贷后风险、货值、接口、回款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监测、预警、处置、报告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贷后监测报告、风险处置建议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0A3B67"/>
          <w:sz w:val="27"/>
        </w:rPr>
        <w:t>6.2 风险与货值入口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风险与货值入口围绕盯市、价格、货值、贷后预警、风险事件、复核、处置和审计归档，形成风险治理闭环。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7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二级资产</w:t>
            </w:r>
          </w:p>
        </w:tc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主要对象</w:t>
            </w:r>
          </w:p>
        </w:tc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核心动作</w:t>
            </w:r>
          </w:p>
        </w:tc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输出物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盯市预警列表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商品货值、质押率、融资占用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识别预警、复核货值、生成处置任务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盯市预警清单、货值复核记录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商品价格监控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商品价格、外部行情、项目影响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价格同步、异常识别、货值重算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价格异常清单、货值重算记录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价格趋势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重点商品、时间窗口、阈值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趋势分析、影响评估、生成报告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价格趋势报告、阈值调整建议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价格预警设置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规则、阈值、通知对象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新增规则、冲突检测、发布审批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价格预警规则包、审批记录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货值管理列表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估值对象、估值方法、融资占用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估值录入、重算、复核、归档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货值管理清单、融资占用表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贷后预警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回款、库存、货值、接口异常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复核、处置、回款跟踪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贷后预警清单、贷后风险报告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风险事件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主体、交易、资产、接口事件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分派、处置、复核、关闭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风险事件台账、风险处置单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审计归档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事件、任务、字段、证据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字段反查、归档、生成审计报告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风险审计报告、归档材料包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0A3B67"/>
          <w:sz w:val="27"/>
        </w:rPr>
        <w:t>6.3 计费结算入口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计费结算入口承担泰乾服务费、预付款、月度对账、租户费用、优惠券和项目收益统计的核算作业，统一使用“计费结算”命名，不再使用“计算结算”。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7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二级资产</w:t>
            </w:r>
          </w:p>
        </w:tc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主要对象</w:t>
            </w:r>
          </w:p>
        </w:tc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核心动作</w:t>
            </w:r>
          </w:p>
        </w:tc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输出物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客户费用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客户、融资金额、费率、费用状态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确认费用、生成账单、核算应收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客户费用清单、应收费用表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服务费规则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项目、产品、银行、年化费率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维护规则、试算、发布审批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服务费规则包、试算结果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预付款列表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客户预付款、余额、占用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录入、核销、预警、对账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预付款台账、核销记录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预付款预警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余额不足、超期占用、异常消耗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预警、任务分派、处置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预付款预警清单、处置任务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月度对账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项目、客户、融资、服务费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生成对账、确认差异、归档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月度对账单、差异清单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对账单列表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对账单、状态、开票、回款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查看、确认、开票、收款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对账单台账、开票记录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租户费用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租户、服务周期、计费项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统计、核算、出账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租户费用清单、账期报告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项目收益统计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项目收入、成本、毛利、贡献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统计、复盘、导出报告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项目收益报表、经营复盘报告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七、小屏显示适配需求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R11.3.3 的核心修复之一是小屏排版全面复盘。笔记本显示环境下，系统必须优先保障中区主作业画布，所有非核心操作区都应主动让位。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4536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布局策略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大屏模式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可视宽度大于 1680px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左右栏可展开，中区保持宽版，任务中心可固定展示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笔记本模式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可视宽度 1366-1680px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右侧任务中心默认抽屉化，KPI 横向紧凑，中区优先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紧凑模式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可视宽度小于 1366px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左侧缩窄，顶部入口横向滚动，中区单列优先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演示模式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用户手动触发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保留视觉效果和讲解顺序，但不得破坏操作能力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0A3B67"/>
          <w:sz w:val="27"/>
        </w:rPr>
        <w:t>7.1 KPI 指标卡左右排版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指标卡必须由“上下两行”改为“左右结构”，减少垂直高度占用，避免挤压中区主作业画布。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80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展示结构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左侧显示指标名称，右侧显示数值和单位，例如：合同总数 328份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高度控制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小屏下单个指标高度控制在约 34-38px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布局方式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横向紧凑指标条，优先单行排列；空间不足时允许横向滚动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禁止事项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禁止指标卡在小屏下多行堆叠导致中区高度被挤压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0A3B67"/>
          <w:sz w:val="27"/>
        </w:rPr>
        <w:t>7.2 说明卡去除规则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操作版中区不得出现“主体运营要点 / 三窗模板 / 平台入口说明 / 联动说明”等说明性卡片。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内容类型</w:t>
            </w:r>
          </w:p>
        </w:tc>
        <w:tc>
          <w:tcPr>
            <w:tcW w:type="dxa" w:w="328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操作版处理</w:t>
            </w:r>
          </w:p>
        </w:tc>
        <w:tc>
          <w:tcPr>
            <w:tcW w:type="dxa" w:w="323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文档处理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说明性卡片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不进入中区主画布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进入产品需求手册或研发实施版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三窗模板说明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只保留操作入口，不展示大段解释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进入三窗模板配置说明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平台联动说明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不展示在操作界面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进入交互回归报告与实施文档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任务中心说明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不展示为任务卡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只展示真实待办、预警、异常、输出物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八、右侧综合任务中心需求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右侧综合任务中心从固定栏升级为“抽屉式待办调度中心”。在小屏环境下默认收起，点击右下角待办按钮展开，点击空白处或按 ESC 自动关闭。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680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默认状态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小屏默认收起，显示为悬浮待办中心按钮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角标信息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显示待办数、预警数、异常数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展开方式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点击待办中心按钮，从右侧抽屉展开，不挤压中区主画布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关闭方式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点击空白遮罩、点击关闭按钮、按 ESC 均可关闭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误关闭防护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点击抽屉内部、三窗、浮窗、模式切换栏时不得误关闭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任务字段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任务名称、来源、责任角色、SLA、关联对象、状态、下一步动作、输出物、审计记录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九、多窗并行作业框架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三窗能力已经从展示效果升级为乾融操作版的核心生产力能力，建议统一命名为“多窗并行作业框架”。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80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三窗悬浮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默认保留，适合笔记本小屏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平铺模式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手动触发，适合大屏和宽屏办公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放大 / 还原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任一窗口支持放大和还原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最大化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小屏下建议优先使用最大化处理当前对象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一键关闭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关闭所有三窗，不影响主画布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任务联动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从右侧任务卡打开三窗，并带入关联对象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结果回写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三窗处理结果需回写到任务中心、审计记录和输出物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十、路由门禁与防丢失规则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R11.3.3 必须作为后续迭代的稳定母版。任何新增入口、样式优化、功能扩展，都必须先通过以下门禁。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门禁项</w:t>
            </w:r>
          </w:p>
        </w:tc>
        <w:tc>
          <w:tcPr>
            <w:tcW w:type="dxa" w:w="6690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乾信不改动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交付包可包含乾信文件，但不得修改其已定稿逻辑和页面内容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业务域不重写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新增平台入口不得覆盖五大业务域主画布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中区不说明化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中区只放操作对象、表格、筛选、按钮、输出物和三窗入口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右侧不说明化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右侧只显示待办、预警、异常、输出物和处理动作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KPI 不挤压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指标卡在小屏下采用左右紧凑布局，不得多行堆叠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三窗不丢失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悬浮、平铺、放大、还原、最大化、一键关闭能力必须保留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任务抽屉可关闭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点击空白和 ESC 能关闭抽屉，且不误关闭三窗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命名统一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计费结算统一命名，不再出现计算结算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十一、主要功能需求清单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30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需求编号</w:t>
            </w:r>
          </w:p>
        </w:tc>
        <w:tc>
          <w:tcPr>
            <w:tcW w:type="dxa" w:w="1530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2835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需求描述</w:t>
            </w:r>
          </w:p>
        </w:tc>
        <w:tc>
          <w:tcPr>
            <w:tcW w:type="dxa" w:w="850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98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QR-FR-001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平台一级入口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保留 12 个一级入口，当前重点固化融资运营、风险与货值、计费结算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入口点击后正确联动二级资产、中区、任务中心和输出物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QR-FR-002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二级作业资产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三入口二级资产清单固化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点击二级资产后，中区主画布与右侧任务动态刷新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QR-FR-003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中区主画布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支持筛选、表格、动作、输出物和三窗入口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中区无说明卡，操作功能完整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QR-FR-004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右侧任务中心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小屏抽屉化、显示待办角标、空白关闭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点击空白/ESC 可关闭，内部点击不误关闭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QR-FR-005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KPI 指标卡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指标名称和数值左右排列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小屏下高度受控，不挤压中区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QR-FR-006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三窗能力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悬浮、平铺、放大、还原、最大化保留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所有三入口可打开三窗，操作不丢失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QR-FR-007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说明卡治理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说明性内容移出操作版中区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主画布不出现主体运营要点/三窗模板说明卡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QR-FR-008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显示模式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支持自动/大屏/笔记本/紧凑模式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可按屏幕宽度触发布局策略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QR-FR-009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命名统一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计费结算统一命名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操作版菜单、路由、任务和文档不再混用计算结算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QR-FR-010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交付门禁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自动/人工检查报告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交付包包含修复、回归、防丢失、显示适配报告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十二、非功能需求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80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显示兼容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重点验收 1536x864、1440x900、1366x768 三类笔记本尺寸，并兼容大屏模式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性能体验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入口切换、二级切换、任务抽屉展开、三窗打开应保持即时响应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可维护性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平台入口、业务域入口、二级资产、中区画布、右侧任务中心应通过路由表和配置表维护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可扩展性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后续接入系统与审计、任务管理、租户管理时，不应破坏当前三入口基线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可审计性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关键操作、任务处理、三窗输出、状态流转均应写入审计记录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演示适配</w:t>
            </w:r>
          </w:p>
        </w:tc>
        <w:tc>
          <w:tcPr>
            <w:tcW w:type="dxa" w:w="68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可在展厅/大屏/笔记本切换展示，但操作版优先保障真实作业效率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十三、测试与验收方案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8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测试类别</w:t>
            </w:r>
          </w:p>
        </w:tc>
        <w:tc>
          <w:tcPr>
            <w:tcW w:type="dxa" w:w="6520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测试重点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入口联动测试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顶部平台入口、二级作业资产、中区主画布、右侧任务中心、输出物是否同步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业务域隔离测试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业务域点击后是否保持既定主画布，不被平台入口覆盖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小屏适配测试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1536、1440、1366 宽度下，中区主画布是否优先、右侧任务中心是否抽屉化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抽屉交互测试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点击空白、ESC、关闭按钮是否可关闭；点击内部是否不误关闭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三窗能力测试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三窗、平铺、悬浮、放大、还原、最大化、一键关闭是否正常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说明卡治理测试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操作版中区是否不存在说明性卡片和模板解释卡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KPI 排版测试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指标是否左右排列，高度是否受控，不影响中区主画布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乾信隔离测试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交付包中的乾信是否未被改动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十四、版本路线与下一步建议</w:t>
      </w:r>
    </w:p>
    <w:p>
      <w:pPr>
        <w:spacing w:line="300" w:lineRule="auto" w:after="60"/>
      </w:pPr>
      <w:r>
        <w:rPr>
          <w:rFonts w:ascii="Microsoft YaHei" w:hAnsi="Microsoft YaHei" w:eastAsia="Microsoft YaHei"/>
          <w:sz w:val="21"/>
        </w:rPr>
        <w:t>当前 R11.3.3 已经适合作为乾融操作版的小屏适配和三入口稳定母版。下一步不建议马上接 R12 系统与审计，建议先完成字段清单和状态流转固化。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建议版本</w:t>
            </w:r>
          </w:p>
        </w:tc>
        <w:tc>
          <w:tcPr>
            <w:tcW w:type="dxa" w:w="2381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139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V6.5.9.4.R11.4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三入口字段清单与状态流转固化版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把融资运营、风险与货值、计费结算的字段、状态、任务、输出物和审计留痕固化为 PRD 附录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V6.5.9.4.R11.5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三窗模板产品化版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将默认三窗、自定义三窗、任务联动三窗、结果回写机制正式产品化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V6.5.9.4.R11.6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接口与数据源口径版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补充银行接口、产业平台接口、外部数据源、H5 和审计日志的数据口径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V6.5.9.4.R12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系统与审计入口接入版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在路由门禁和字段状态固化后，再接入系统与审计入口，降低污染风险</w:t>
            </w:r>
          </w:p>
        </w:tc>
      </w:tr>
    </w:tbl>
    <w:p>
      <w:pPr>
        <w:spacing w:before="200" w:after="120"/>
      </w:pPr>
      <w:r>
        <w:rPr>
          <w:rFonts w:ascii="Microsoft YaHei" w:hAnsi="Microsoft YaHei" w:eastAsia="Microsoft YaHei"/>
          <w:b/>
          <w:color w:val="0B2346"/>
          <w:sz w:val="32"/>
        </w:rPr>
        <w:t>十五、附录：术语口径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237"/>
            <w:vAlign w:val="center"/>
            <w:shd w:fill="0B234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平台一级入口</w:t>
            </w:r>
          </w:p>
        </w:tc>
        <w:tc>
          <w:tcPr>
            <w:tcW w:type="dxa" w:w="62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顶部横向入口，用于进入平台级操作工作台或功能后台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业务域一级入口</w:t>
            </w:r>
          </w:p>
        </w:tc>
        <w:tc>
          <w:tcPr>
            <w:tcW w:type="dxa" w:w="62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左侧五大业务域入口，用于业务理解、运营观察和穿透理解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二级作业资产</w:t>
            </w:r>
          </w:p>
        </w:tc>
        <w:tc>
          <w:tcPr>
            <w:tcW w:type="dxa" w:w="62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平台一级入口下的具体功能资产，如融资列表、风险事件、月度对账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中区主作业画布</w:t>
            </w:r>
          </w:p>
        </w:tc>
        <w:tc>
          <w:tcPr>
            <w:tcW w:type="dxa" w:w="62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核心操作区，承载筛选、录入、校验、表格、任务和输出物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综合任务中心</w:t>
            </w:r>
          </w:p>
        </w:tc>
        <w:tc>
          <w:tcPr>
            <w:tcW w:type="dxa" w:w="62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右侧待办调度区，小屏下为抽屉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多窗并行作业框架</w:t>
            </w:r>
          </w:p>
        </w:tc>
        <w:tc>
          <w:tcPr>
            <w:tcW w:type="dxa" w:w="62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三窗、悬浮、平铺、放大、还原、最大化等并行处理能力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乾信不改原则</w:t>
            </w:r>
          </w:p>
        </w:tc>
        <w:tc>
          <w:tcPr>
            <w:tcW w:type="dxa" w:w="62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后续迭代乾融操作版时，不对已定稿乾信展厅演示版做任何覆盖修改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说明卡乱入</w:t>
            </w:r>
          </w:p>
        </w:tc>
        <w:tc>
          <w:tcPr>
            <w:tcW w:type="dxa" w:w="62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说明性内容进入操作版中区或右侧任务区，占用操作空间的错误情况</w:t>
            </w:r>
          </w:p>
        </w:tc>
      </w:tr>
    </w:tbl>
    <w:sectPr w:rsidR="00FC693F" w:rsidRPr="0006063C" w:rsidSect="00034616">
      <w:pgSz w:w="12240" w:h="15840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