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 SELLER TAT</w:t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Edgar Augusto Vasquez Ibañez</w:t>
      </w:r>
    </w:p>
    <w:p w:rsidR="00000000" w:rsidDel="00000000" w:rsidP="00000000" w:rsidRDefault="00000000" w:rsidRPr="00000000" w14:paraId="00000008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 Dario Moyano</w:t>
      </w:r>
    </w:p>
    <w:p w:rsidR="00000000" w:rsidDel="00000000" w:rsidP="00000000" w:rsidRDefault="00000000" w:rsidRPr="00000000" w14:paraId="00000009">
      <w:pPr>
        <w:spacing w:after="0" w:line="48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Kevin Mavesoy</w:t>
      </w:r>
    </w:p>
    <w:p w:rsidR="00000000" w:rsidDel="00000000" w:rsidP="00000000" w:rsidRDefault="00000000" w:rsidRPr="00000000" w14:paraId="0000000A">
      <w:pPr>
        <w:spacing w:after="0" w:line="48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Jaime Daniel Mendoza</w:t>
      </w:r>
    </w:p>
    <w:p w:rsidR="00000000" w:rsidDel="00000000" w:rsidP="00000000" w:rsidRDefault="00000000" w:rsidRPr="00000000" w14:paraId="0000000B">
      <w:pPr>
        <w:spacing w:after="0" w:line="48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Ronal </w:t>
      </w:r>
    </w:p>
    <w:p w:rsidR="00000000" w:rsidDel="00000000" w:rsidP="00000000" w:rsidRDefault="00000000" w:rsidRPr="00000000" w14:paraId="0000000C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D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0E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0F">
      <w:pPr>
        <w:spacing w:after="0" w:line="48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 2558172_G3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25 de agosto de 2022</w:t>
      </w:r>
    </w:p>
    <w:p w:rsidR="00000000" w:rsidDel="00000000" w:rsidP="00000000" w:rsidRDefault="00000000" w:rsidRPr="00000000" w14:paraId="00000016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94"/>
            </w:tabs>
            <w:spacing w:after="10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tl w:val="0"/>
            </w:rPr>
            <w:t xml:space="preserve">INTRODUCCIÓN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94"/>
            </w:tabs>
            <w:spacing w:after="10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DESARROLLO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94"/>
            </w:tabs>
            <w:spacing w:after="100" w:before="0" w:line="276" w:lineRule="auto"/>
            <w:ind w:left="22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fob9t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Importancia De Modelar Proceso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94"/>
            </w:tabs>
            <w:spacing w:after="100" w:before="0" w:line="276" w:lineRule="auto"/>
            <w:ind w:left="22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znysh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BPMN Definición y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94"/>
            </w:tabs>
            <w:spacing w:after="100" w:before="0" w:line="276" w:lineRule="auto"/>
            <w:ind w:left="44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94"/>
            </w:tabs>
            <w:spacing w:after="100" w:before="0" w:line="276" w:lineRule="auto"/>
            <w:ind w:left="44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tyjcwt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94"/>
            </w:tabs>
            <w:spacing w:after="100" w:before="0" w:line="276" w:lineRule="auto"/>
            <w:ind w:left="44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3dy6vkm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Ventajas Competitivas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94"/>
            </w:tabs>
            <w:spacing w:after="10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Durante mucho tiempo las compañías han buscado un modelo para representar y organizar todos sus procesos, BPMN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llegó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ser un estratega que brinda información completa y con un lenguaje internacional para el modelo de procesos, en esta guía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mostrar la importancia de esta herramienta y el aporte que brinda al desarrollo de procesos.</w:t>
      </w:r>
    </w:p>
    <w:p w:rsidR="00000000" w:rsidDel="00000000" w:rsidP="00000000" w:rsidRDefault="00000000" w:rsidRPr="00000000" w14:paraId="00000033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Business Process Model And Notation BPMN, se a convertido en una vital herramienta para el desarrollo y estructuración de procesos corporativos, ya que brinda un lenguaje claro, completo y eficiente a todos los actores involucrados</w:t>
      </w:r>
    </w:p>
    <w:p w:rsidR="00000000" w:rsidDel="00000000" w:rsidP="00000000" w:rsidRDefault="00000000" w:rsidRPr="00000000" w14:paraId="00000034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modelo está formado gráficamente en un diagrama, y fue creado por IBM en el año de 2001 como BPML, en el año 2006 es publicada la primera versión BPMN 1.0 por OMG, y mejorada en la versión 2.0 para el año 2013 la cual se convierte en norma ISO /IEC 19510.2013. (Unknown, 2022)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Importancia De Modelar Proceso</w:t>
      </w:r>
    </w:p>
    <w:p w:rsidR="00000000" w:rsidDel="00000000" w:rsidP="00000000" w:rsidRDefault="00000000" w:rsidRPr="00000000" w14:paraId="00000041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el desarrollo empresarial, es muy importante tener la información de sus procesos detallada y organizada, por ello BPMN es la herramienta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efectiva ya que representa gráficamente los procesos, de una manera intuitiva y fácil de comprender y modificar, esto es vital para que la compañía pueda analizar, medir y tomar acciones de mejora basadas en los procesos, así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mejorará su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eficiencia y competitividad.</w:t>
      </w:r>
    </w:p>
    <w:p w:rsidR="00000000" w:rsidDel="00000000" w:rsidP="00000000" w:rsidRDefault="00000000" w:rsidRPr="00000000" w14:paraId="00000042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el análisis de software es sumamente necesario modelar correctamente los procesos para evitar fallas, reprocesos y sobrecostos en el desarrollo de este. (LinkedIn, 2017)</w:t>
      </w:r>
    </w:p>
    <w:p w:rsidR="00000000" w:rsidDel="00000000" w:rsidP="00000000" w:rsidRDefault="00000000" w:rsidRPr="00000000" w14:paraId="00000043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BPMN Definición y uso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46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BPMN es una notación para modelar procesos de negocios estructurados y con un lenguaje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simple de leer y entender, por lo cual no se requiere un conocimiento técnico avanzado para su comprensión y desarrollo, facilita la automatización de procesos, esta herramienta permite que todos los miembros tengan conocimiento el negocio y se formalizan procesos para futuros miembros facilitando los cambios y actualizaciones del proceso. (LinkedIn, 2017)</w:t>
      </w:r>
    </w:p>
    <w:p w:rsidR="00000000" w:rsidDel="00000000" w:rsidP="00000000" w:rsidRDefault="00000000" w:rsidRPr="00000000" w14:paraId="00000048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Sirve para facilitar el diseño y modelado de procesos, cuyo objetivo es la comprensión simple tanto para personas como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máquinas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una manera intuitiva.</w:t>
      </w:r>
    </w:p>
    <w:p w:rsidR="00000000" w:rsidDel="00000000" w:rsidP="00000000" w:rsidRDefault="00000000" w:rsidRPr="00000000" w14:paraId="0000004C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diseñado para todas las personas que requieran de su uso, empleados, gestores responsables de establecer y supervisar los procesos, técnicos responsables de la instalación de las herramientas, interesados externos, etc. (LinkedIn, 2017)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Ventajas Competitivas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la actualización de procesos de manera ordenada.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la rápida automatización de los procesos. </w:t>
      </w:r>
    </w:p>
    <w:p w:rsidR="00000000" w:rsidDel="00000000" w:rsidP="00000000" w:rsidRDefault="00000000" w:rsidRPr="00000000" w14:paraId="00000052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Rápida y Clara, visualización.</w:t>
      </w:r>
    </w:p>
    <w:p w:rsidR="00000000" w:rsidDel="00000000" w:rsidP="00000000" w:rsidRDefault="00000000" w:rsidRPr="00000000" w14:paraId="00000053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formato común que puede ser automatizado.</w:t>
      </w:r>
    </w:p>
    <w:p w:rsidR="00000000" w:rsidDel="00000000" w:rsidP="00000000" w:rsidRDefault="00000000" w:rsidRPr="00000000" w14:paraId="00000054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formalismo sin ambigüedades, comprensible incluso fuera de su organización.</w:t>
      </w:r>
    </w:p>
    <w:p w:rsidR="00000000" w:rsidDel="00000000" w:rsidP="00000000" w:rsidRDefault="00000000" w:rsidRPr="00000000" w14:paraId="00000055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Interoperabilidad entre varias organizaciones y varios instrumentos.</w:t>
      </w:r>
    </w:p>
    <w:p w:rsidR="00000000" w:rsidDel="00000000" w:rsidP="00000000" w:rsidRDefault="00000000" w:rsidRPr="00000000" w14:paraId="00000056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estándar en evolución a través de una comunidad activa, para satisfacer las necesidades comerciales siempre cambiantes.</w:t>
      </w:r>
    </w:p>
    <w:p w:rsidR="00000000" w:rsidDel="00000000" w:rsidP="00000000" w:rsidRDefault="00000000" w:rsidRPr="00000000" w14:paraId="00000057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consenso empresarial y técnico para el modelado de procesos: BPMN es una notación de referencia.</w:t>
      </w:r>
    </w:p>
    <w:p w:rsidR="00000000" w:rsidDel="00000000" w:rsidP="00000000" w:rsidRDefault="00000000" w:rsidRPr="00000000" w14:paraId="00000058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70"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Actividad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Identificación de iconos </w:t>
      </w:r>
    </w:p>
    <w:p w:rsidR="00000000" w:rsidDel="00000000" w:rsidP="00000000" w:rsidRDefault="00000000" w:rsidRPr="00000000" w14:paraId="0000005E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Conectores: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secuencia de las actividades: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706910" cy="335147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33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mensajes: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639847" cy="300253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47" cy="30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Asociación de artefactos y elementos del flujo: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538345" cy="310858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345" cy="31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2.   Actividades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123172" cy="719982"/>
            <wp:effectExtent b="0" l="0" r="0" t="0"/>
            <wp:docPr descr="BPMN Notation - Task Element" id="46" name="image2.png"/>
            <a:graphic>
              <a:graphicData uri="http://schemas.openxmlformats.org/drawingml/2006/picture">
                <pic:pic>
                  <pic:nvPicPr>
                    <pic:cNvPr descr="BPMN Notation - Task Elemen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172" cy="71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de servicio: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925824" cy="615145"/>
            <wp:effectExtent b="0" l="0" r="0" t="0"/>
            <wp:docPr descr="BPMN Notation - Service Task Element" id="45" name="image10.png"/>
            <a:graphic>
              <a:graphicData uri="http://schemas.openxmlformats.org/drawingml/2006/picture">
                <pic:pic>
                  <pic:nvPicPr>
                    <pic:cNvPr descr="BPMN Notation - Service Task Element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824" cy="61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de envío de mensaje: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024696" cy="687716"/>
            <wp:effectExtent b="0" l="0" r="0" t="0"/>
            <wp:docPr descr="BPMN Notation - Send Task Element" id="48" name="image13.png"/>
            <a:graphic>
              <a:graphicData uri="http://schemas.openxmlformats.org/drawingml/2006/picture">
                <pic:pic>
                  <pic:nvPicPr>
                    <pic:cNvPr descr="BPMN Notation - Send Task Element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696" cy="68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de recibir un mensaje: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983577" cy="646916"/>
            <wp:effectExtent b="0" l="0" r="0" t="0"/>
            <wp:docPr descr="BPMN Notation - Receiving Task Element" id="47" name="image8.png"/>
            <a:graphic>
              <a:graphicData uri="http://schemas.openxmlformats.org/drawingml/2006/picture">
                <pic:pic>
                  <pic:nvPicPr>
                    <pic:cNvPr descr="BPMN Notation - Receiving Task Element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577" cy="64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manual: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107242" cy="735684"/>
            <wp:effectExtent b="0" l="0" r="0" t="0"/>
            <wp:docPr descr="tarefa manual" id="50" name="image18.png"/>
            <a:graphic>
              <a:graphicData uri="http://schemas.openxmlformats.org/drawingml/2006/picture">
                <pic:pic>
                  <pic:nvPicPr>
                    <pic:cNvPr descr="tarefa manual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242" cy="73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de usuario en un sistema de workflow: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159439" cy="755162"/>
            <wp:effectExtent b="0" l="0" r="0" t="0"/>
            <wp:docPr descr="BPMN Notation - User Task Element" id="49" name="image17.png"/>
            <a:graphic>
              <a:graphicData uri="http://schemas.openxmlformats.org/drawingml/2006/picture">
                <pic:pic>
                  <pic:nvPicPr>
                    <pic:cNvPr descr="BPMN Notation - User Task Element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439" cy="75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Subproceso: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062072" cy="698544"/>
            <wp:effectExtent b="0" l="0" r="0" t="0"/>
            <wp:docPr descr="Subprocesso" id="53" name="image21.png"/>
            <a:graphic>
              <a:graphicData uri="http://schemas.openxmlformats.org/drawingml/2006/picture">
                <pic:pic>
                  <pic:nvPicPr>
                    <pic:cNvPr descr="Subprocesso"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72" cy="69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3.   Eventos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 tipo de eventos, como regla general, una línea fina de contorno que significa que comienza, una doble línea muestra un evento intermedio, y una línea gruesa indica un evento final, con algunas excepciones en las que no habría ningún sentido tener un evento final de ese tipo.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importante recordar que, dependiendo del caso, se produzcan diferentes efectos tanto en el inicio como en la etapa intermedia o final del proceso.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modo de ejemplo, vamos a ver los eventos relacionados con los mensajes: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proceso se inicia con la llegada de un mensaje.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42950" cy="685800"/>
            <wp:effectExtent b="0" l="0" r="0" t="0"/>
            <wp:docPr descr="mensagem inicio" id="51" name="image19.png"/>
            <a:graphic>
              <a:graphicData uri="http://schemas.openxmlformats.org/drawingml/2006/picture">
                <pic:pic>
                  <pic:nvPicPr>
                    <pic:cNvPr descr="mensagem inicio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enviar o recibir un mensaje.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52475" cy="714375"/>
            <wp:effectExtent b="0" l="0" r="0" t="0"/>
            <wp:docPr descr="mensagem enviada ou recebida" id="52" name="image9.png"/>
            <a:graphic>
              <a:graphicData uri="http://schemas.openxmlformats.org/drawingml/2006/picture">
                <pic:pic>
                  <pic:nvPicPr>
                    <pic:cNvPr descr="mensagem enviada ou recebida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enviará un mensaje a otro proceso con el final de este flujo.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14375" cy="733425"/>
            <wp:effectExtent b="0" l="0" r="0" t="0"/>
            <wp:docPr descr="mensagem enviada no final" id="54" name="image5.png"/>
            <a:graphic>
              <a:graphicData uri="http://schemas.openxmlformats.org/drawingml/2006/picture">
                <pic:pic>
                  <pic:nvPicPr>
                    <pic:cNvPr descr="mensagem enviada no final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Veamos otros ejemplos de eventos: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Tiempo: el proceso se inicia por una condición de tiempo.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33425" cy="704850"/>
            <wp:effectExtent b="0" l="0" r="0" t="0"/>
            <wp:docPr descr="tempo" id="55" name="image12.png"/>
            <a:graphic>
              <a:graphicData uri="http://schemas.openxmlformats.org/drawingml/2006/picture">
                <pic:pic>
                  <pic:nvPicPr>
                    <pic:cNvPr descr="tempo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Condicional: una condición lógica determina el comienzo del evento.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23900" cy="704850"/>
            <wp:effectExtent b="0" l="0" r="0" t="0"/>
            <wp:docPr descr="condicional" id="56" name="image3.png"/>
            <a:graphic>
              <a:graphicData uri="http://schemas.openxmlformats.org/drawingml/2006/picture">
                <pic:pic>
                  <pic:nvPicPr>
                    <pic:cNvPr descr="condicional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Señal: una señal recibida de otro proceso inicia este proceso.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62000" cy="733425"/>
            <wp:effectExtent b="0" l="0" r="0" t="0"/>
            <wp:docPr descr="Sinal" id="57" name="image25.png"/>
            <a:graphic>
              <a:graphicData uri="http://schemas.openxmlformats.org/drawingml/2006/picture">
                <pic:pic>
                  <pic:nvPicPr>
                    <pic:cNvPr descr="Sinal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Múltiples: uno de muchos eventos posibles inicia el proceso.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800100" cy="704850"/>
            <wp:effectExtent b="0" l="0" r="0" t="0"/>
            <wp:docPr descr="multiplo" id="58" name="image24.png"/>
            <a:graphic>
              <a:graphicData uri="http://schemas.openxmlformats.org/drawingml/2006/picture">
                <pic:pic>
                  <pic:nvPicPr>
                    <pic:cNvPr descr="multiplo"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Múltiple paralelo: deben ocurrir varios eventos para iniciar el proceso.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62000" cy="742950"/>
            <wp:effectExtent b="0" l="0" r="0" t="0"/>
            <wp:docPr descr="multiplo paralelo" id="59" name="image23.png"/>
            <a:graphic>
              <a:graphicData uri="http://schemas.openxmlformats.org/drawingml/2006/picture">
                <pic:pic>
                  <pic:nvPicPr>
                    <pic:cNvPr descr="multiplo paralelo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Programación: una excepción de negocio inicia el proceso.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23900" cy="714375"/>
            <wp:effectExtent b="0" l="0" r="0" t="0"/>
            <wp:docPr descr="escalacao" id="60" name="image20.png"/>
            <a:graphic>
              <a:graphicData uri="http://schemas.openxmlformats.org/drawingml/2006/picture">
                <pic:pic>
                  <pic:nvPicPr>
                    <pic:cNvPr descr="escalacao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 captura la aparición de un fallo.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52475" cy="714375"/>
            <wp:effectExtent b="0" l="0" r="0" t="0"/>
            <wp:docPr descr="erro" id="61" name="image14.png"/>
            <a:graphic>
              <a:graphicData uri="http://schemas.openxmlformats.org/drawingml/2006/picture">
                <pic:pic>
                  <pic:nvPicPr>
                    <pic:cNvPr descr="erro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4.   Gateways o Pasarelas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Exclusivo basado en los datos: el flujo sigue por una condición exclusiva.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85800" cy="571500"/>
            <wp:effectExtent b="0" l="0" r="0" t="0"/>
            <wp:docPr descr="GW-dados" id="37" name="image15.png"/>
            <a:graphic>
              <a:graphicData uri="http://schemas.openxmlformats.org/drawingml/2006/picture">
                <pic:pic>
                  <pic:nvPicPr>
                    <pic:cNvPr descr="GW-dados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Paralelo: el flujo se divide en otros que ocurren en paralelo.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14375" cy="685800"/>
            <wp:effectExtent b="0" l="0" r="0" t="0"/>
            <wp:docPr descr="GWparalelo" id="38" name="image22.png"/>
            <a:graphic>
              <a:graphicData uri="http://schemas.openxmlformats.org/drawingml/2006/picture">
                <pic:pic>
                  <pic:nvPicPr>
                    <pic:cNvPr descr="GWparalelo"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Inclusivo: el flujo sigue una condición inclusiva, es decir, para cada flujo de secuencia, se evalúa una fórmula y si se devuelve el valor verdadero, entonces se activa el camino.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62000" cy="676275"/>
            <wp:effectExtent b="0" l="0" r="0" t="0"/>
            <wp:docPr descr="GW inclusivo" id="39" name="image4.png"/>
            <a:graphic>
              <a:graphicData uri="http://schemas.openxmlformats.org/drawingml/2006/picture">
                <pic:pic>
                  <pic:nvPicPr>
                    <pic:cNvPr descr="GW inclusivo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Complejo: Controla condiciones complejas de divergencia y también de convergencia.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723900" cy="695325"/>
            <wp:effectExtent b="0" l="0" r="0" t="0"/>
            <wp:docPr descr="GW complexo" id="40" name="image16.png"/>
            <a:graphic>
              <a:graphicData uri="http://schemas.openxmlformats.org/drawingml/2006/picture">
                <pic:pic>
                  <pic:nvPicPr>
                    <pic:cNvPr descr="GW complexo"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Intermediario exclusivo basado en eventos: siempre se utiliza para dividir el flujo de iniciar un proceso debido a la ocurrencia única de uno entre múltiples eventos.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58595b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800100" cy="752475"/>
            <wp:effectExtent b="0" l="0" r="0" t="0"/>
            <wp:docPr descr="GW-intermediario exclusivo" id="41" name="image11.png"/>
            <a:graphic>
              <a:graphicData uri="http://schemas.openxmlformats.org/drawingml/2006/picture">
                <pic:pic>
                  <pic:nvPicPr>
                    <pic:cNvPr descr="GW-intermediario exclusivo"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(heflo, s.f.)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BPMN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46194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46194"/>
          <w:sz w:val="18"/>
          <w:szCs w:val="18"/>
          <w:u w:val="none"/>
          <w:shd w:fill="auto" w:val="clear"/>
          <w:vertAlign w:val="baseline"/>
          <w:rtl w:val="0"/>
        </w:rPr>
        <w:t xml:space="preserve">Diagrama BPMN 1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Becerra, J. (2014).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Cuál es la compuerta correcta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https://www.youtube.com/watch?v=mEB5lrbNOGo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Español, S. H. (2008).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 de Demostración sobre Tareas de la notación BPMN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https://www.youtube.com/watch?v=StcMXCRRqTE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heflo. (s.f.).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BPMN 2.0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https://www.heflo.com/es/blog/modelado-de-procesos/notacion-bpmn-2/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LinkedIn. (2017).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BPMN es importante para corporaciones así como para PyME's?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Obtenido de https://www.linkedin.com/pulse/por-qu%C3%A9-bpmn-es-importante-para-corporaciones-as%C3%AD-como-juan-j-moreno#:~:text=%20%C2%BFPor%20qu%C3%A9%20BPMN%20es%20importante%20para%20corporaciones,a%20todos%29.%20Una%20empresa%2C%20grande%20o...%20More%20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Suite, B. (2014).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Actividades tareas y subprocesos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https://www.youtube.com/watch?v=NDJn7TnsShM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Suite, B. (2014).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¿Qué es una compuerta inclusiva?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Obtenido de https://www.youtube.com/watch?v=tlvq9CjDFZY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Suite, B. (2014).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Que es una compuerta compleja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https://www.youtube.com/watch?v=Nenb-gk0oMM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Unknown. (2022).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BPMN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Obtenido de https://bpmn-bayard.blogspot.com/2011/03/1-introduccion-bpmn.html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ANEXOS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4"/>
            </w:tabs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BPMN 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4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8413"/>
      </w:tabs>
      <w:spacing w:after="0" w:before="0" w:line="240" w:lineRule="auto"/>
      <w:ind w:left="-113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70" w:line="480" w:lineRule="auto"/>
      <w:ind w:left="432" w:hanging="432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70" w:line="480" w:lineRule="auto"/>
      <w:ind w:left="576" w:hanging="576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entury Gothic" w:cs="Century Gothic" w:eastAsia="Century Gothic" w:hAnsi="Century Gothic"/>
      <w:b w:val="1"/>
      <w:color w:val="052f6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entury Gothic" w:cs="Century Gothic" w:eastAsia="Century Gothic" w:hAnsi="Century Gothic"/>
      <w:i w:val="1"/>
      <w:color w:val="03234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entury Gothic" w:cs="Century Gothic" w:eastAsia="Century Gothic" w:hAnsi="Century Gothic"/>
      <w:color w:val="03234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entury Gothic" w:cs="Century Gothic" w:eastAsia="Century Gothic" w:hAnsi="Century Gothic"/>
      <w:color w:val="02173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84CA4"/>
    <w:pPr>
      <w:numPr>
        <w:numId w:val="42"/>
      </w:numPr>
      <w:autoSpaceDE w:val="0"/>
      <w:autoSpaceDN w:val="0"/>
      <w:adjustRightInd w:val="0"/>
      <w:spacing w:after="70" w:line="480" w:lineRule="auto"/>
      <w:outlineLvl w:val="0"/>
    </w:pPr>
    <w:rPr>
      <w:rFonts w:ascii="Arial" w:cs="Arial" w:hAnsi="Arial"/>
      <w:b w:val="1"/>
      <w:bCs w:val="1"/>
      <w:color w:val="000000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84CA4"/>
    <w:pPr>
      <w:numPr>
        <w:ilvl w:val="1"/>
        <w:numId w:val="42"/>
      </w:numPr>
      <w:autoSpaceDE w:val="0"/>
      <w:autoSpaceDN w:val="0"/>
      <w:adjustRightInd w:val="0"/>
      <w:spacing w:after="70" w:line="480" w:lineRule="auto"/>
      <w:outlineLvl w:val="1"/>
    </w:pPr>
    <w:rPr>
      <w:rFonts w:ascii="Arial" w:cs="Arial" w:hAnsi="Arial"/>
      <w:b w:val="1"/>
      <w:bCs w:val="1"/>
      <w:color w:val="000000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numPr>
        <w:ilvl w:val="2"/>
        <w:numId w:val="4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BA1EF0"/>
    <w:pPr>
      <w:keepNext w:val="1"/>
      <w:keepLines w:val="1"/>
      <w:numPr>
        <w:ilvl w:val="3"/>
        <w:numId w:val="42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32348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A1EF0"/>
    <w:pPr>
      <w:keepNext w:val="1"/>
      <w:keepLines w:val="1"/>
      <w:numPr>
        <w:ilvl w:val="4"/>
        <w:numId w:val="42"/>
      </w:numPr>
      <w:spacing w:after="0" w:before="40"/>
      <w:outlineLvl w:val="4"/>
    </w:pPr>
    <w:rPr>
      <w:rFonts w:asciiTheme="majorHAnsi" w:cstheme="majorBidi" w:eastAsiaTheme="majorEastAsia" w:hAnsiTheme="majorHAnsi"/>
      <w:color w:val="032348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A1EF0"/>
    <w:pPr>
      <w:keepNext w:val="1"/>
      <w:keepLines w:val="1"/>
      <w:numPr>
        <w:ilvl w:val="5"/>
        <w:numId w:val="42"/>
      </w:numPr>
      <w:spacing w:after="0" w:before="40"/>
      <w:outlineLvl w:val="5"/>
    </w:pPr>
    <w:rPr>
      <w:rFonts w:asciiTheme="majorHAnsi" w:cstheme="majorBidi" w:eastAsiaTheme="majorEastAsia" w:hAnsiTheme="majorHAnsi"/>
      <w:color w:val="02173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A1EF0"/>
    <w:pPr>
      <w:keepNext w:val="1"/>
      <w:keepLines w:val="1"/>
      <w:numPr>
        <w:ilvl w:val="6"/>
        <w:numId w:val="42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2173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A1EF0"/>
    <w:pPr>
      <w:keepNext w:val="1"/>
      <w:keepLines w:val="1"/>
      <w:numPr>
        <w:ilvl w:val="7"/>
        <w:numId w:val="42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A1EF0"/>
    <w:pPr>
      <w:keepNext w:val="1"/>
      <w:keepLines w:val="1"/>
      <w:numPr>
        <w:ilvl w:val="8"/>
        <w:numId w:val="42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Listamulticolor-nfasis11" w:customStyle="1">
    <w:name w:val="Lista multicolor - Énfasis 11"/>
    <w:basedOn w:val="Normal"/>
    <w:uiPriority w:val="34"/>
    <w:qFormat w:val="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Pr>
      <w:rFonts w:ascii="Lucida Grande" w:cs="Lucida Grande" w:hAnsi="Lucida Grande"/>
      <w:sz w:val="18"/>
      <w:szCs w:val="18"/>
    </w:rPr>
  </w:style>
  <w:style w:type="character" w:styleId="EncabezadoCar1" w:customStyle="1">
    <w:name w:val="Encabezado Car1"/>
    <w:rPr>
      <w:rFonts w:ascii="Calibri" w:eastAsia="Calibri" w:hAnsi="Calibri"/>
      <w:sz w:val="22"/>
      <w:szCs w:val="22"/>
      <w:lang w:eastAsia="ar-SA"/>
    </w:rPr>
  </w:style>
  <w:style w:type="character" w:styleId="Ttulo1Car" w:customStyle="1">
    <w:name w:val="Título 1 Car"/>
    <w:link w:val="Ttulo1"/>
    <w:uiPriority w:val="9"/>
    <w:rsid w:val="00C84CA4"/>
    <w:rPr>
      <w:rFonts w:ascii="Arial" w:cs="Arial" w:hAnsi="Arial"/>
      <w:b w:val="1"/>
      <w:bCs w:val="1"/>
      <w:color w:val="000000"/>
      <w:sz w:val="24"/>
      <w:szCs w:val="24"/>
    </w:rPr>
  </w:style>
  <w:style w:type="character" w:styleId="Ttulo2Car" w:customStyle="1">
    <w:name w:val="Título 2 Car"/>
    <w:link w:val="Ttulo2"/>
    <w:uiPriority w:val="9"/>
    <w:rsid w:val="00C84CA4"/>
    <w:rPr>
      <w:rFonts w:ascii="Arial" w:cs="Arial" w:hAnsi="Arial"/>
      <w:b w:val="1"/>
      <w:bCs w:val="1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 w:val="1"/>
    <w:pPr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PrrafodelistaCar" w:customStyle="1">
    <w:name w:val="Párrafo de lista Car"/>
    <w:link w:val="Prrafodelista"/>
    <w:uiPriority w:val="34"/>
    <w:rPr>
      <w:rFonts w:asciiTheme="minorHAnsi" w:cstheme="minorBidi" w:eastAsiaTheme="minorHAnsi" w:hAnsiTheme="minorHAnsi"/>
      <w:sz w:val="22"/>
      <w:szCs w:val="22"/>
      <w:lang w:eastAsia="en-US"/>
    </w:rPr>
  </w:style>
  <w:style w:type="numbering" w:styleId="Estilo1" w:customStyle="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 w:val="1"/>
    <w:qFormat w:val="1"/>
    <w:pPr>
      <w:keepNext w:val="1"/>
      <w:keepLines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032348" w:themeColor="accent1" w:themeShade="0000BF"/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A1EF0"/>
    <w:pPr>
      <w:tabs>
        <w:tab w:val="left" w:pos="44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Tablanormal"/>
    <w:uiPriority w:val="49"/>
    <w:tblPr>
      <w:tblStyleRowBandSize w:val="1"/>
      <w:tblStyleColBandSize w:val="1"/>
      <w:tblBorders>
        <w:top w:color="167af3" w:space="0" w:sz="4" w:themeColor="accent1" w:themeTint="000099" w:val="single"/>
        <w:left w:color="167af3" w:space="0" w:sz="4" w:themeColor="accent1" w:themeTint="000099" w:val="single"/>
        <w:bottom w:color="167af3" w:space="0" w:sz="4" w:themeColor="accent1" w:themeTint="000099" w:val="single"/>
        <w:right w:color="167af3" w:space="0" w:sz="4" w:themeColor="accent1" w:themeTint="000099" w:val="single"/>
        <w:insideH w:color="167af3" w:space="0" w:sz="4" w:themeColor="accent1" w:themeTint="000099" w:val="single"/>
        <w:insideV w:color="167af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52f61" w:space="0" w:sz="4" w:themeColor="accent1" w:val="single"/>
          <w:left w:color="052f61" w:space="0" w:sz="4" w:themeColor="accent1" w:val="single"/>
          <w:bottom w:color="052f61" w:space="0" w:sz="4" w:themeColor="accent1" w:val="single"/>
          <w:right w:color="052f61" w:space="0" w:sz="4" w:themeColor="accent1" w:val="single"/>
          <w:insideH w:space="0" w:sz="0" w:val="nil"/>
          <w:insideV w:space="0" w:sz="0" w:val="nil"/>
        </w:tcBorders>
        <w:shd w:color="auto" w:fill="052f61" w:themeFill="accent1" w:val="clear"/>
      </w:tcPr>
    </w:tblStylePr>
    <w:tblStylePr w:type="lastRow">
      <w:rPr>
        <w:b w:val="1"/>
        <w:bCs w:val="1"/>
      </w:rPr>
      <w:tblPr/>
      <w:tcPr>
        <w:tcBorders>
          <w:top w:color="052f6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1d2fb" w:themeFill="accent1" w:themeFillTint="000033" w:val="clear"/>
      </w:tcPr>
    </w:tblStylePr>
    <w:tblStylePr w:type="band1Horz">
      <w:tblPr/>
      <w:tcPr>
        <w:shd w:color="auto" w:fill="b1d2fb" w:themeFill="accent1" w:themeFillTint="000033" w:val="clear"/>
      </w:tcPr>
    </w:tblStylePr>
  </w:style>
  <w:style w:type="table" w:styleId="Tablaconcuadrcula">
    <w:name w:val="Table Grid"/>
    <w:basedOn w:val="Tabla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Pr>
      <w:b w:val="1"/>
      <w:bCs w:val="1"/>
      <w:lang w:eastAsia="en-US"/>
    </w:rPr>
  </w:style>
  <w:style w:type="paragraph" w:styleId="Sinespaciado">
    <w:name w:val="No Spacing"/>
    <w:link w:val="SinespaciadoCar"/>
    <w:uiPriority w:val="1"/>
    <w:qFormat w:val="1"/>
    <w:rPr>
      <w:rFonts w:asciiTheme="minorHAnsi" w:cstheme="minorBidi" w:eastAsiaTheme="minorEastAsia" w:hAnsiTheme="minorHAnsi"/>
      <w:sz w:val="22"/>
      <w:szCs w:val="22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cstheme="minorBidi" w:eastAsiaTheme="minorEastAsia" w:hAnsiTheme="minorHAns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 w:val="1"/>
    <w:uiPriority w:val="39"/>
    <w:unhideWhenUsed w:val="1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Pr>
      <w:lang w:eastAsia="en-U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color="14967c" w:space="0" w:sz="8" w:themeColor="accent3" w:val="single"/>
        <w:left w:color="14967c" w:space="0" w:sz="8" w:themeColor="accent3" w:val="single"/>
        <w:bottom w:color="14967c" w:space="0" w:sz="8" w:themeColor="accent3" w:val="single"/>
        <w:right w:color="14967c" w:space="0" w:sz="8" w:themeColor="accent3" w:val="single"/>
        <w:insideH w:color="14967c" w:space="0" w:sz="8" w:themeColor="accent3" w:val="single"/>
        <w:insideV w:color="14967c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18" w:themeColor="accent3" w:val="single"/>
          <w:right w:color="14967c" w:space="0" w:sz="8" w:themeColor="accent3" w:val="single"/>
          <w:insideH w:space="0" w:sz="0" w:val="nil"/>
          <w:insideV w:color="14967c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6" w:themeColor="accent3" w:val="doub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H w:space="0" w:sz="0" w:val="nil"/>
          <w:insideV w:color="14967c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</w:tcBorders>
      </w:tcPr>
    </w:tblStylePr>
    <w:tblStylePr w:type="band1Vert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</w:tcBorders>
        <w:shd w:color="auto" w:fill="b4f5e8" w:themeFill="accent3" w:themeFillTint="00003F" w:val="clear"/>
      </w:tcPr>
    </w:tblStylePr>
    <w:tblStylePr w:type="band1Horz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V w:color="14967c" w:space="0" w:sz="8" w:themeColor="accent3" w:val="single"/>
        </w:tcBorders>
        <w:shd w:color="auto" w:fill="b4f5e8" w:themeFill="accent3" w:themeFillTint="00003F" w:val="clear"/>
      </w:tcPr>
    </w:tblStylePr>
    <w:tblStylePr w:type="band2Horz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V w:color="14967c" w:space="0" w:sz="8" w:themeColor="accent3" w:val="single"/>
        </w:tcBorders>
      </w:tcPr>
    </w:tblStyle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Pr>
      <w:rFonts w:ascii="Arial" w:cs="Arial" w:eastAsia="Times New Roman" w:hAnsi="Arial"/>
      <w:vanish w:val="1"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47D1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60BE7"/>
    <w:rPr>
      <w:color w:val="356a95" w:themeColor="followedHyperlink"/>
      <w:u w:val="single"/>
    </w:rPr>
  </w:style>
  <w:style w:type="character" w:styleId="Ttulo4Car" w:customStyle="1">
    <w:name w:val="Título 4 Car"/>
    <w:basedOn w:val="Fuentedeprrafopredeter"/>
    <w:link w:val="Ttulo4"/>
    <w:uiPriority w:val="9"/>
    <w:rsid w:val="00BA1EF0"/>
    <w:rPr>
      <w:rFonts w:asciiTheme="majorHAnsi" w:cstheme="majorBidi" w:eastAsiaTheme="majorEastAsia" w:hAnsiTheme="majorHAnsi"/>
      <w:i w:val="1"/>
      <w:iCs w:val="1"/>
      <w:color w:val="032348" w:themeColor="accent1" w:themeShade="0000BF"/>
      <w:sz w:val="22"/>
      <w:szCs w:val="22"/>
      <w:lang w:eastAsia="en-U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A1EF0"/>
    <w:rPr>
      <w:rFonts w:asciiTheme="majorHAnsi" w:cstheme="majorBidi" w:eastAsiaTheme="majorEastAsia" w:hAnsiTheme="majorHAnsi"/>
      <w:color w:val="032348" w:themeColor="accent1" w:themeShade="0000BF"/>
      <w:sz w:val="22"/>
      <w:szCs w:val="22"/>
      <w:lang w:eastAsia="en-U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A1EF0"/>
    <w:rPr>
      <w:rFonts w:asciiTheme="majorHAnsi" w:cstheme="majorBidi" w:eastAsiaTheme="majorEastAsia" w:hAnsiTheme="majorHAnsi"/>
      <w:color w:val="021730" w:themeColor="accent1" w:themeShade="00007F"/>
      <w:sz w:val="22"/>
      <w:szCs w:val="22"/>
      <w:lang w:eastAsia="en-U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A1EF0"/>
    <w:rPr>
      <w:rFonts w:asciiTheme="majorHAnsi" w:cstheme="majorBidi" w:eastAsiaTheme="majorEastAsia" w:hAnsiTheme="majorHAnsi"/>
      <w:i w:val="1"/>
      <w:iCs w:val="1"/>
      <w:color w:val="021730" w:themeColor="accent1" w:themeShade="00007F"/>
      <w:sz w:val="22"/>
      <w:szCs w:val="22"/>
      <w:lang w:eastAsia="en-U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A1EF0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n-U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A1EF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n-US"/>
    </w:rPr>
  </w:style>
  <w:style w:type="paragraph" w:styleId="Bibliografa">
    <w:name w:val="Bibliography"/>
    <w:basedOn w:val="Normal"/>
    <w:next w:val="Normal"/>
    <w:uiPriority w:val="37"/>
    <w:unhideWhenUsed w:val="1"/>
    <w:rsid w:val="0013434E"/>
  </w:style>
  <w:style w:type="paragraph" w:styleId="Descripcin">
    <w:name w:val="caption"/>
    <w:basedOn w:val="Normal"/>
    <w:next w:val="Normal"/>
    <w:uiPriority w:val="35"/>
    <w:unhideWhenUsed w:val="1"/>
    <w:qFormat w:val="1"/>
    <w:rsid w:val="0021692B"/>
    <w:pPr>
      <w:spacing w:line="240" w:lineRule="auto"/>
    </w:pPr>
    <w:rPr>
      <w:i w:val="1"/>
      <w:iCs w:val="1"/>
      <w:color w:val="146194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21692B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5.png"/><Relationship Id="rId21" Type="http://schemas.openxmlformats.org/officeDocument/2006/relationships/image" Target="media/image3.png"/><Relationship Id="rId24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8" Type="http://schemas.openxmlformats.org/officeDocument/2006/relationships/image" Target="media/image2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image" Target="media/image11.png"/><Relationship Id="rId30" Type="http://schemas.openxmlformats.org/officeDocument/2006/relationships/image" Target="media/image16.png"/><Relationship Id="rId11" Type="http://schemas.openxmlformats.org/officeDocument/2006/relationships/image" Target="media/image10.png"/><Relationship Id="rId33" Type="http://schemas.openxmlformats.org/officeDocument/2006/relationships/header" Target="header1.xml"/><Relationship Id="rId10" Type="http://schemas.openxmlformats.org/officeDocument/2006/relationships/image" Target="media/image2.png"/><Relationship Id="rId32" Type="http://schemas.openxmlformats.org/officeDocument/2006/relationships/header" Target="header2.xml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34" Type="http://schemas.openxmlformats.org/officeDocument/2006/relationships/footer" Target="footer1.xml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6G6xTMbxivwwT+IuS7gXu4sKw==">AMUW2mWgcg0uJB21n1jDNzmVFfXi9KquNpeYB+z/FpxPBfwkJeLQTmOnUFOPMI773C0ZmWV0NV/dcVwGbZJY22pVNg4WkRMjk9cja5uHmniwnatOwAlPhOJ+33T55bB4FqJPGWJpqkiuNPHVbvoSadmXfmRI6PQkglUpBSYT6JRz4PHO7MFZgDv2BIw2BpSOm66i4aanKRln8Sxk+wknKfUgAfGMwrN+O/OaNLjd2q5ecpMhazctWPs=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2022-07-31T22:27:00Z</dcterms:created>
  <dc:creator>ASTRID SUAREZ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2022-07-06T22:09:16Z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26b7bc33-b63f-49ca-8b13-528ac35f2d62</vt:lpwstr>
  </property>
  <property fmtid="{D5CDD505-2E9C-101B-9397-08002B2CF9AE}" pid="8" name="MSIP_Label_1299739c-ad3d-4908-806e-4d91151a6e13_ContentBits">
    <vt:lpwstr>0</vt:lpwstr>
  </property>
</Properties>
</file>