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3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1"/>
        <w:gridCol w:w="8931"/>
        <w:tblGridChange w:id="0">
          <w:tblGrid>
            <w:gridCol w:w="1801"/>
            <w:gridCol w:w="893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title</w:t>
            </w:r>
          </w:p>
        </w:tc>
        <w:tc>
          <w:tcPr>
            <w:shd w:fill="auto" w:val="clear"/>
            <w:tcMar>
              <w:top w:w="100.0" w:type="dxa"/>
              <w:left w:w="100.0" w:type="dxa"/>
              <w:bottom w:w="100.0" w:type="dxa"/>
              <w:right w:w="100.0" w:type="dxa"/>
            </w:tcM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r w:rsidDel="00000000" w:rsidR="00000000" w:rsidRPr="00000000">
              <w:rPr>
                <w:b w:val="1"/>
                <w:rtl w:val="0"/>
              </w:rPr>
              <w:t xml:space="preserve">Fluorouracil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Bolus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w:t>
            </w:r>
          </w:p>
        </w:tc>
        <w:tc>
          <w:tcPr>
            <w:shd w:fill="auto" w:val="clear"/>
            <w:tcMar>
              <w:top w:w="100.0" w:type="dxa"/>
              <w:left w:w="100.0" w:type="dxa"/>
              <w:bottom w:w="100.0" w:type="dxa"/>
              <w:right w:w="100.0" w:type="dxa"/>
            </w:tcM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w:t>
            </w:r>
          </w:p>
        </w:tc>
      </w:tr>
      <w:tr>
        <w:trPr>
          <w:cantSplit w:val="0"/>
          <w:trHeight w:val="177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Antiemetic risk+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Antiallergic medications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Premedications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chemotherapy medications</w:t>
            </w:r>
          </w:p>
        </w:tc>
        <w:tc>
          <w:tcPr>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Intravenous-Low emetic risk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Chemotherapy dose and method of administration</w:t>
            </w:r>
          </w:p>
        </w:tc>
        <w:tc>
          <w:tcPr>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Injection 5-FU </w:t>
            </w:r>
            <w:r w:rsidDel="00000000" w:rsidR="00000000" w:rsidRPr="00000000">
              <w:rPr>
                <w:rtl w:val="0"/>
              </w:rPr>
              <w:t xml:space="preserve">400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mg/m2 IV bolus  D</w:t>
            </w:r>
            <w:r w:rsidDel="00000000" w:rsidR="00000000" w:rsidRPr="00000000">
              <w:rPr>
                <w:rtl w:val="0"/>
              </w:rPr>
              <w:t xml:space="preserve">1. Do not inject the entire contents of the vial directly into patients.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Bolus monthly schedule: 425–450 mg/m2 IV on days 1–5 every 28 days.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Bolus weekly schedule: 500–600 mg/m2 IV every week for 6 weeks every 8 weeks.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Dose levels of 5-FU</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Dose level 0:  400 mg/m2 </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Dose level -1: 300 mg/m2</w:t>
            </w:r>
          </w:p>
          <w:p w:rsidR="00000000" w:rsidDel="00000000" w:rsidP="00000000" w:rsidRDefault="00000000" w:rsidRPr="00000000" w14:paraId="00000014">
            <w:pPr>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Dose level -2: 200 mg/m2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Number of days of chemotherapy in each cycle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cycles</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rPr/>
            </w:pPr>
            <w:r w:rsidDel="00000000" w:rsidR="00000000" w:rsidRPr="00000000">
              <w:rPr>
                <w:rtl w:val="0"/>
              </w:rPr>
              <w:t xml:space="preserve">Until disease progression or development of intolerable side effects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risk</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&gt;20%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Antithrombotic prophylaxis</w:t>
            </w:r>
          </w:p>
        </w:tc>
        <w:tc>
          <w:tcPr>
            <w:shd w:fill="auto" w:val="clear"/>
            <w:tcMar>
              <w:top w:w="100.0" w:type="dxa"/>
              <w:left w:w="100.0" w:type="dxa"/>
              <w:bottom w:w="100.0" w:type="dxa"/>
              <w:right w:w="10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instruction to Nurse</w:t>
            </w:r>
          </w:p>
        </w:tc>
        <w:tc>
          <w:tcPr>
            <w:shd w:fill="auto"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Orders related checks</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check whether the orders for chemotherapy are signed manually or by using electronic approval by licensed independent practitioners who are determined to be qualified by the health care setting.</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Verbal orders are not allowed from medical practitioners except to hold or stop chemotherapy administration.</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Check Consent</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check new orders or changes to orders, including changes to regimens, for example, dose adjustments communicated directly to patients, are documented in the medical record.</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patient’s name and a second patient identifier like a phone number</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date the order is written (Orders are valid for only 3 working days)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Regimen or protocol name and number, Cycle number and day, when applicable</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medications within the order set are listed by using full generic names</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Drug dose is written following standards for abbreviations, trailing zeros, and leading zeros. </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 of administration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preparation, a second person—a practitioner or other personnel approved by the health care setting to prepare or administer chemotherapy— independently verifies</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Two patient identifiers. </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Drug name.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Drug dose.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 of administration.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Rate of administration </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calculation for dosing, including the variables used in this calculation. </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Treatment cycle and day of the cycle</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preparation, a second person approved by the health care setting to prepare parenteral chemotherapy verifies: </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drug vial(s). </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Concentration.</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Drug volume or weight. </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Diluent type and volume</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Administration fluid type, volume, and tubing.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Chemotherapy drugs are labelled immediately upon preparation, and labels include the following 10 elements at a minimum:</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Patient’s name. </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second patient identifier. </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 generic drug name. </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Drug dose.</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Drug administration route. </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total volume required to administer the drug. </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the medication is to be administered. </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Expiration dates and/or times. </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Sequencing of drug administration, when applicable, and the total number of products to be given when medication is provided in divided doses—each product should be labelled with the total number of products to be administered and the sequence of the individual product within that total grouping, for example, one of five, two of two, etc. </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warning or precautionary label or sticker, as applicable, to storage and handling; may be included within the label or on an auxiliary label.</w:t>
            </w:r>
          </w:p>
          <w:p w:rsidR="00000000" w:rsidDel="00000000" w:rsidP="00000000" w:rsidRDefault="00000000" w:rsidRPr="00000000" w14:paraId="00000042">
            <w:pPr>
              <w:rPr/>
            </w:pPr>
            <w:r w:rsidDel="00000000" w:rsidR="00000000" w:rsidRPr="00000000">
              <w:rPr>
                <w:rtl w:val="0"/>
              </w:rPr>
              <w:br w:type="textWrapping"/>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Administration</w:t>
            </w:r>
          </w:p>
          <w:p w:rsidR="00000000" w:rsidDel="00000000" w:rsidP="00000000" w:rsidRDefault="00000000" w:rsidRPr="00000000" w14:paraId="0000004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initiation of each chemotherapy administration cycle, the practitioner who is administering the chemotherapy confirms the treatment with the patient, including, at a minimum, the name of the drug, infusion time, route of administration, and infusion-related symptoms to report—for example, but not limited to, hypersensitivity symptoms or pain during infusion. </w:t>
            </w:r>
          </w:p>
          <w:p w:rsidR="00000000" w:rsidDel="00000000" w:rsidP="00000000" w:rsidRDefault="00000000" w:rsidRPr="00000000" w14:paraId="0000004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least two individuals, in the presence of the patient, verify the patient identification by using at least two identifiers.</w:t>
            </w:r>
          </w:p>
          <w:p w:rsidR="00000000" w:rsidDel="00000000" w:rsidP="00000000" w:rsidRDefault="00000000" w:rsidRPr="00000000" w14:paraId="0000004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vitals before starting. They need to be within the institutes/centres approved normal limits</w:t>
            </w:r>
          </w:p>
          <w:p w:rsidR="00000000" w:rsidDel="00000000" w:rsidP="00000000" w:rsidRDefault="00000000" w:rsidRPr="00000000" w14:paraId="0000004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 new IV cannula or Chemo port and needs to be inserted at a sight with limited movements and not over a joint</w:t>
            </w:r>
          </w:p>
          <w:p w:rsidR="00000000" w:rsidDel="00000000" w:rsidP="00000000" w:rsidRDefault="00000000" w:rsidRPr="00000000" w14:paraId="0000004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for backflow prior to giving chemotherapy</w:t>
            </w:r>
          </w:p>
          <w:p w:rsidR="00000000" w:rsidDel="00000000" w:rsidP="00000000" w:rsidRDefault="00000000" w:rsidRPr="00000000" w14:paraId="0000004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In case of extravasation→ Follow the institutes/centres approved extravasation algorithm</w:t>
                </w:r>
              </w:sdtContent>
            </w:sdt>
          </w:p>
          <w:p w:rsidR="00000000" w:rsidDel="00000000" w:rsidP="00000000" w:rsidRDefault="00000000" w:rsidRPr="00000000" w14:paraId="0000004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In case of hypersensitivity→ Follow the institutes/centres approved extravasation algorithm </w:t>
                </w:r>
              </w:sdtContent>
            </w:sdt>
          </w:p>
          <w:p w:rsidR="00000000" w:rsidDel="00000000" w:rsidP="00000000" w:rsidRDefault="00000000" w:rsidRPr="00000000" w14:paraId="0000004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In case of breathlessness or chest pain or syncope or bradycardia → Follow an emergency cardiac algorithm </w:t>
                </w:r>
              </w:sdtContent>
            </w:sdt>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Special instructions to nurse - protocol specific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 not administer in the same intravenous line concomitantly with other medicinal products. </w:t>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For bolus administration, store undiluted fluorouracil in the syringe for up to 4 hours at room temperature (25°C). Administer fluorouracil as an intravenous bolus through an established intravenous line.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instruction to patients</w:t>
            </w:r>
          </w:p>
        </w:tc>
        <w:tc>
          <w:tcPr>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Encourage oral hydration</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 of any emergency - Please visit the outpatient/ causality of …. hospital </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respond to daily SMS sent for enquiring about your health</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 of fever or more than 2 loose motions/vomiting or giddiness or weakness or any other troublesome symptom. Please visit the outpatient/ causality of …. hospital  </w:t>
            </w:r>
          </w:p>
          <w:p w:rsidR="00000000" w:rsidDel="00000000" w:rsidP="00000000" w:rsidRDefault="00000000" w:rsidRPr="00000000" w14:paraId="000000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change in appointment or rescheduling can be discussed on this ……………………..number </w:t>
            </w:r>
          </w:p>
          <w:p w:rsidR="00000000" w:rsidDel="00000000" w:rsidP="00000000" w:rsidRDefault="00000000" w:rsidRPr="00000000" w14:paraId="0000005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avoid any social visits or public places without discussing with your oncologists</w:t>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Prefer homemade food and or food prepared in hygienic conditions</w:t>
            </w:r>
          </w:p>
          <w:p w:rsidR="00000000" w:rsidDel="00000000" w:rsidP="00000000" w:rsidRDefault="00000000" w:rsidRPr="00000000" w14:paraId="000000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please check the patient information booklet available with the medicines for detailed instructions on do and donts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instruction to patients-Protocol specific</w:t>
            </w:r>
          </w:p>
        </w:tc>
        <w:tc>
          <w:tcPr>
            <w:shd w:fill="auto" w:val="clear"/>
            <w:tcMar>
              <w:top w:w="100.0" w:type="dxa"/>
              <w:left w:w="100.0" w:type="dxa"/>
              <w:bottom w:w="100.0" w:type="dxa"/>
              <w:right w:w="100.0" w:type="dxa"/>
            </w:tcMar>
          </w:tcPr>
          <w:p w:rsidR="00000000" w:rsidDel="00000000" w:rsidP="00000000" w:rsidRDefault="00000000" w:rsidRPr="00000000" w14:paraId="000000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Patients to notify their healthcare provider if they have a known DPD deficiency. Advise patients if they have complete or near complete absence of DPD activity, they are at an increased risk of severe and life-threatening mucositis, diarrhea, neutropenia and neurotoxicity</w:t>
            </w:r>
          </w:p>
          <w:p w:rsidR="00000000" w:rsidDel="00000000" w:rsidP="00000000" w:rsidRDefault="00000000" w:rsidRPr="00000000" w14:paraId="0000005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Patients of the risk of cardiotoxicity. Advise patients to immediately contact their healthcare provider or to go to an emergency room for new onset of chest pain, shortness of breath, dizziness, or lightheadedness</w:t>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Patients to immediately contact their healthcare provider or go to an emergency room for new onset of confusion, disorientation, or otherwise altered mental status; difficulty with balance or coordination; or visual disturbances</w:t>
            </w:r>
          </w:p>
          <w:p w:rsidR="00000000" w:rsidDel="00000000" w:rsidP="00000000" w:rsidRDefault="00000000" w:rsidRPr="00000000" w14:paraId="0000005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Patients to contact their healthcare provider for severe diarrhea or for painful mouth sores with decreased oral intake of food or fluids</w:t>
            </w:r>
          </w:p>
          <w:p w:rsidR="00000000" w:rsidDel="00000000" w:rsidP="00000000" w:rsidRDefault="00000000" w:rsidRPr="00000000" w14:paraId="000000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Patients to contact their healthcare provider for tingling or burning, redness, flaking, swelling, blisters, or sores on the palms of their hands or soles of their feet</w:t>
            </w:r>
          </w:p>
          <w:p w:rsidR="00000000" w:rsidDel="00000000" w:rsidP="00000000" w:rsidRDefault="00000000" w:rsidRPr="00000000" w14:paraId="0000006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Patients of the importance of keeping appointments for blood tests. Instruct patients to monitor their temperature on a daily basis and to immediately contact their healthcare provider for fever or other signs of infection</w:t>
            </w:r>
          </w:p>
          <w:p w:rsidR="00000000" w:rsidDel="00000000" w:rsidP="00000000" w:rsidRDefault="00000000" w:rsidRPr="00000000" w14:paraId="0000006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Patients to notify their healthcare provider of all drugs they are taking, including warfarin or other coumarin-derivative anticoagulants. Advise patients of the importance of keeping appointments for blood tests</w:t>
            </w:r>
          </w:p>
          <w:p w:rsidR="00000000" w:rsidDel="00000000" w:rsidP="00000000" w:rsidRDefault="00000000" w:rsidRPr="00000000" w14:paraId="0000006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Females of reproductive potential and males with female partners of reproductive potential to use effective contraception during treatment with fluorouracil and for up to 3 months after the last dose of fluorouracil. Instruct female patients to contact their healthcare provider if they become pregnant, if pregnancy occurs during fluorouracil treatment or during the 3 months following the last dose</w:t>
            </w:r>
          </w:p>
          <w:p w:rsidR="00000000" w:rsidDel="00000000" w:rsidP="00000000" w:rsidRDefault="00000000" w:rsidRPr="00000000" w14:paraId="0000006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Females and males of reproductive potential may have impaired fertility while receiving fluorouracil, based on animal data </w:t>
            </w:r>
          </w:p>
          <w:p w:rsidR="00000000" w:rsidDel="00000000" w:rsidP="00000000" w:rsidRDefault="00000000" w:rsidRPr="00000000" w14:paraId="0000006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Nursing mothers to discontinue nursing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Stockist instructions</w:t>
            </w:r>
          </w:p>
        </w:tc>
        <w:tc>
          <w:tcPr>
            <w:shd w:fill="auto" w:val="clear"/>
            <w:tcMar>
              <w:top w:w="100.0" w:type="dxa"/>
              <w:left w:w="100.0" w:type="dxa"/>
              <w:bottom w:w="100.0" w:type="dxa"/>
              <w:right w:w="100.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 Fluorouracil 2.5 g in a 50 mL vial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visit instructions </w:t>
            </w:r>
          </w:p>
        </w:tc>
        <w:tc>
          <w:tcPr>
            <w:shd w:fill="auto" w:val="clear"/>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CBC LFT RFT NA K Mg Ca before each visit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interactions</w:t>
            </w:r>
          </w:p>
        </w:tc>
        <w:tc>
          <w:tcPr>
            <w:shd w:fill="auto" w:val="clear"/>
            <w:tcMar>
              <w:top w:w="100.0" w:type="dxa"/>
              <w:left w:w="100.0" w:type="dxa"/>
              <w:bottom w:w="100.0" w:type="dxa"/>
              <w:right w:w="100.0" w:type="dxa"/>
            </w:tcMar>
          </w:tcPr>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Leucovorin—Leucovorin enhances the antitumor activity and toxicity of 5-FU. Stabilizes the TS-FdUMP-reduced folate ternary complex resulting in maximal inhibition of TS.</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Methotrexate, trimetrexate—Antifolate analogs increase the formation of 5-FU nucleotide metabolites when given 24 hours before 5-FU.</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Thymidine—Rescues against the TS- and DNA-mediated toxic effects of 5-FU.</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Vistonuridine (uridine triacetate)—Rescues against the toxic effects of 5-FU.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Fonts w:ascii="Calibri" w:cs="Calibri" w:eastAsia="Calibri" w:hAnsi="Calibri"/>
                <w:sz w:val="24"/>
                <w:szCs w:val="24"/>
                <w:highlight w:val="white"/>
                <w:rtl w:val="0"/>
              </w:rPr>
              <w:t xml:space="preserve">New cycle planning minimal requirements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Hemoglobin level &gt;= 8 g/dl</w:t>
            </w:r>
          </w:p>
          <w:p w:rsidR="00000000" w:rsidDel="00000000" w:rsidP="00000000" w:rsidRDefault="00000000" w:rsidRPr="00000000" w14:paraId="0000007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 Neutrophil Count&gt;=1000/mm</w:t>
            </w:r>
            <w:r w:rsidDel="00000000" w:rsidR="00000000" w:rsidRPr="00000000">
              <w:rPr>
                <w:rFonts w:ascii="Calibri" w:cs="Calibri" w:eastAsia="Calibri" w:hAnsi="Calibri"/>
                <w:sz w:val="24"/>
                <w:szCs w:val="24"/>
                <w:highlight w:val="white"/>
                <w:vertAlign w:val="superscript"/>
                <w:rtl w:val="0"/>
              </w:rPr>
              <w:t xml:space="preserve">3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Platelet count &gt;=75,000/ mm3</w:t>
            </w:r>
          </w:p>
          <w:p w:rsidR="00000000" w:rsidDel="00000000" w:rsidP="00000000" w:rsidRDefault="00000000" w:rsidRPr="00000000" w14:paraId="0000007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GFR &gt;= 40 ml/min</w:t>
            </w:r>
          </w:p>
          <w:p w:rsidR="00000000" w:rsidDel="00000000" w:rsidP="00000000" w:rsidRDefault="00000000" w:rsidRPr="00000000" w14:paraId="00000073">
            <w:pPr>
              <w:widowControl w:val="0"/>
              <w:spacing w:line="240" w:lineRule="auto"/>
              <w:rPr/>
            </w:pPr>
            <w:r w:rsidDel="00000000" w:rsidR="00000000" w:rsidRPr="00000000">
              <w:rPr>
                <w:rFonts w:ascii="Calibri" w:cs="Calibri" w:eastAsia="Calibri" w:hAnsi="Calibri"/>
                <w:sz w:val="24"/>
                <w:szCs w:val="24"/>
                <w:highlight w:val="white"/>
                <w:rtl w:val="0"/>
              </w:rPr>
              <w:t xml:space="preserve">No adverse event to baseline or grade 1 (except fatigue or alopecia)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Dose modifications for adverse events</w:t>
            </w:r>
          </w:p>
        </w:tc>
        <w:tc>
          <w:tcPr>
            <w:shd w:fill="auto" w:val="clear"/>
            <w:tcMar>
              <w:top w:w="100.0" w:type="dxa"/>
              <w:left w:w="100.0" w:type="dxa"/>
              <w:bottom w:w="100.0" w:type="dxa"/>
              <w:right w:w="100.0" w:type="dxa"/>
            </w:tcMar>
          </w:tcPr>
          <w:p w:rsidR="00000000" w:rsidDel="00000000" w:rsidP="00000000" w:rsidRDefault="00000000" w:rsidRPr="00000000" w14:paraId="00000075">
            <w:pPr>
              <w:numPr>
                <w:ilvl w:val="0"/>
                <w:numId w:val="15"/>
              </w:numPr>
              <w:spacing w:line="240" w:lineRule="auto"/>
              <w:ind w:left="720" w:hanging="360"/>
              <w:rPr>
                <w:u w:val="none"/>
              </w:rPr>
            </w:pPr>
            <w:r w:rsidDel="00000000" w:rsidR="00000000" w:rsidRPr="00000000">
              <w:rPr>
                <w:rtl w:val="0"/>
              </w:rPr>
              <w:t xml:space="preserve">Myocardial infarction</w:t>
            </w:r>
          </w:p>
          <w:p w:rsidR="00000000" w:rsidDel="00000000" w:rsidP="00000000" w:rsidRDefault="00000000" w:rsidRPr="00000000" w14:paraId="00000076">
            <w:pPr>
              <w:numPr>
                <w:ilvl w:val="0"/>
                <w:numId w:val="14"/>
              </w:numPr>
              <w:spacing w:line="240" w:lineRule="auto"/>
              <w:ind w:left="1440" w:hanging="360"/>
              <w:rPr>
                <w:u w:val="none"/>
              </w:rPr>
            </w:pPr>
            <w:r w:rsidDel="00000000" w:rsidR="00000000" w:rsidRPr="00000000">
              <w:rPr>
                <w:rtl w:val="0"/>
              </w:rPr>
              <w:t xml:space="preserve">Any Grade -&gt; Discontinue 5-FU</w:t>
            </w:r>
          </w:p>
          <w:p w:rsidR="00000000" w:rsidDel="00000000" w:rsidP="00000000" w:rsidRDefault="00000000" w:rsidRPr="00000000" w14:paraId="00000077">
            <w:pPr>
              <w:spacing w:line="240" w:lineRule="auto"/>
              <w:rPr/>
            </w:pPr>
            <w:r w:rsidDel="00000000" w:rsidR="00000000" w:rsidRPr="00000000">
              <w:rPr>
                <w:rtl w:val="0"/>
              </w:rPr>
              <w:t xml:space="preserve">2. Ventricular arrhythmia</w:t>
            </w:r>
          </w:p>
          <w:p w:rsidR="00000000" w:rsidDel="00000000" w:rsidP="00000000" w:rsidRDefault="00000000" w:rsidRPr="00000000" w14:paraId="00000078">
            <w:pPr>
              <w:numPr>
                <w:ilvl w:val="0"/>
                <w:numId w:val="6"/>
              </w:numPr>
              <w:spacing w:line="240" w:lineRule="auto"/>
              <w:ind w:left="720" w:hanging="360"/>
            </w:pPr>
            <w:r w:rsidDel="00000000" w:rsidR="00000000" w:rsidRPr="00000000">
              <w:rPr>
                <w:rtl w:val="0"/>
              </w:rPr>
              <w:t xml:space="preserve">Any Grade -&gt; Discontinue 5-FU</w:t>
            </w:r>
          </w:p>
          <w:p w:rsidR="00000000" w:rsidDel="00000000" w:rsidP="00000000" w:rsidRDefault="00000000" w:rsidRPr="00000000" w14:paraId="00000079">
            <w:pPr>
              <w:spacing w:line="240" w:lineRule="auto"/>
              <w:rPr/>
            </w:pPr>
            <w:r w:rsidDel="00000000" w:rsidR="00000000" w:rsidRPr="00000000">
              <w:rPr>
                <w:rtl w:val="0"/>
              </w:rPr>
              <w:t xml:space="preserve">3. Heart failure</w:t>
            </w:r>
          </w:p>
          <w:p w:rsidR="00000000" w:rsidDel="00000000" w:rsidP="00000000" w:rsidRDefault="00000000" w:rsidRPr="00000000" w14:paraId="0000007A">
            <w:pPr>
              <w:numPr>
                <w:ilvl w:val="0"/>
                <w:numId w:val="4"/>
              </w:numPr>
              <w:spacing w:line="240" w:lineRule="auto"/>
              <w:ind w:left="720" w:hanging="360"/>
            </w:pPr>
            <w:r w:rsidDel="00000000" w:rsidR="00000000" w:rsidRPr="00000000">
              <w:rPr>
                <w:rtl w:val="0"/>
              </w:rPr>
              <w:t xml:space="preserve">Any Grade -&gt; Discontinue 5-FU</w:t>
            </w:r>
          </w:p>
          <w:p w:rsidR="00000000" w:rsidDel="00000000" w:rsidP="00000000" w:rsidRDefault="00000000" w:rsidRPr="00000000" w14:paraId="0000007B">
            <w:pPr>
              <w:spacing w:line="240" w:lineRule="auto"/>
              <w:ind w:left="0" w:firstLine="0"/>
              <w:rPr/>
            </w:pPr>
            <w:r w:rsidDel="00000000" w:rsidR="00000000" w:rsidRPr="00000000">
              <w:rPr>
                <w:rtl w:val="0"/>
              </w:rPr>
              <w:t xml:space="preserve">4. Encephalopathy</w:t>
            </w:r>
          </w:p>
          <w:p w:rsidR="00000000" w:rsidDel="00000000" w:rsidP="00000000" w:rsidRDefault="00000000" w:rsidRPr="00000000" w14:paraId="0000007C">
            <w:pPr>
              <w:numPr>
                <w:ilvl w:val="0"/>
                <w:numId w:val="10"/>
              </w:numPr>
              <w:spacing w:line="240" w:lineRule="auto"/>
              <w:ind w:left="720" w:hanging="360"/>
            </w:pPr>
            <w:r w:rsidDel="00000000" w:rsidR="00000000" w:rsidRPr="00000000">
              <w:rPr>
                <w:rtl w:val="0"/>
              </w:rPr>
              <w:t xml:space="preserve">Any Grade -&gt; Discontinue 5-FU</w:t>
            </w:r>
          </w:p>
          <w:p w:rsidR="00000000" w:rsidDel="00000000" w:rsidP="00000000" w:rsidRDefault="00000000" w:rsidRPr="00000000" w14:paraId="0000007D">
            <w:pPr>
              <w:spacing w:line="240" w:lineRule="auto"/>
              <w:rPr/>
            </w:pPr>
            <w:r w:rsidDel="00000000" w:rsidR="00000000" w:rsidRPr="00000000">
              <w:rPr>
                <w:rtl w:val="0"/>
              </w:rPr>
              <w:t xml:space="preserve">5. Confusion</w:t>
            </w:r>
          </w:p>
          <w:p w:rsidR="00000000" w:rsidDel="00000000" w:rsidP="00000000" w:rsidRDefault="00000000" w:rsidRPr="00000000" w14:paraId="0000007E">
            <w:pPr>
              <w:numPr>
                <w:ilvl w:val="0"/>
                <w:numId w:val="16"/>
              </w:numPr>
              <w:spacing w:line="240" w:lineRule="auto"/>
              <w:ind w:left="720" w:hanging="360"/>
            </w:pPr>
            <w:r w:rsidDel="00000000" w:rsidR="00000000" w:rsidRPr="00000000">
              <w:rPr>
                <w:rtl w:val="0"/>
              </w:rPr>
              <w:t xml:space="preserve">Any Grade -&gt; Discontinue 5-FU</w:t>
            </w:r>
          </w:p>
          <w:p w:rsidR="00000000" w:rsidDel="00000000" w:rsidP="00000000" w:rsidRDefault="00000000" w:rsidRPr="00000000" w14:paraId="0000007F">
            <w:pPr>
              <w:spacing w:line="240" w:lineRule="auto"/>
              <w:rPr/>
            </w:pPr>
            <w:r w:rsidDel="00000000" w:rsidR="00000000" w:rsidRPr="00000000">
              <w:rPr>
                <w:rtl w:val="0"/>
              </w:rPr>
              <w:t xml:space="preserve">6. Ataxia</w:t>
            </w:r>
          </w:p>
          <w:p w:rsidR="00000000" w:rsidDel="00000000" w:rsidP="00000000" w:rsidRDefault="00000000" w:rsidRPr="00000000" w14:paraId="00000080">
            <w:pPr>
              <w:numPr>
                <w:ilvl w:val="0"/>
                <w:numId w:val="9"/>
              </w:numPr>
              <w:spacing w:line="240" w:lineRule="auto"/>
              <w:ind w:left="720" w:hanging="360"/>
            </w:pPr>
            <w:r w:rsidDel="00000000" w:rsidR="00000000" w:rsidRPr="00000000">
              <w:rPr>
                <w:rtl w:val="0"/>
              </w:rPr>
              <w:t xml:space="preserve">Any Grade -&gt; Discontinue 5-FU</w:t>
            </w:r>
          </w:p>
          <w:p w:rsidR="00000000" w:rsidDel="00000000" w:rsidP="00000000" w:rsidRDefault="00000000" w:rsidRPr="00000000" w14:paraId="00000081">
            <w:pPr>
              <w:spacing w:line="240" w:lineRule="auto"/>
              <w:rPr/>
            </w:pPr>
            <w:r w:rsidDel="00000000" w:rsidR="00000000" w:rsidRPr="00000000">
              <w:rPr>
                <w:rtl w:val="0"/>
              </w:rPr>
              <w:t xml:space="preserve">7. Diarrhea</w:t>
            </w:r>
          </w:p>
          <w:p w:rsidR="00000000" w:rsidDel="00000000" w:rsidP="00000000" w:rsidRDefault="00000000" w:rsidRPr="00000000" w14:paraId="00000082">
            <w:pPr>
              <w:numPr>
                <w:ilvl w:val="0"/>
                <w:numId w:val="7"/>
              </w:numPr>
              <w:spacing w:line="240" w:lineRule="auto"/>
              <w:ind w:left="720" w:hanging="360"/>
              <w:rPr>
                <w:u w:val="none"/>
              </w:rPr>
            </w:pPr>
            <w:r w:rsidDel="00000000" w:rsidR="00000000" w:rsidRPr="00000000">
              <w:rPr>
                <w:rtl w:val="0"/>
              </w:rPr>
              <w:t xml:space="preserve">Grade 3/4 -&gt; Reduce dose by 1 level</w:t>
            </w:r>
          </w:p>
          <w:p w:rsidR="00000000" w:rsidDel="00000000" w:rsidP="00000000" w:rsidRDefault="00000000" w:rsidRPr="00000000" w14:paraId="00000083">
            <w:pPr>
              <w:spacing w:line="240" w:lineRule="auto"/>
              <w:rPr/>
            </w:pPr>
            <w:r w:rsidDel="00000000" w:rsidR="00000000" w:rsidRPr="00000000">
              <w:rPr>
                <w:rtl w:val="0"/>
              </w:rPr>
              <w:t xml:space="preserve">8. Palmar-plantar erythrodysesthesia (hand-foot syndrome)</w:t>
            </w:r>
          </w:p>
          <w:p w:rsidR="00000000" w:rsidDel="00000000" w:rsidP="00000000" w:rsidRDefault="00000000" w:rsidRPr="00000000" w14:paraId="00000084">
            <w:pPr>
              <w:numPr>
                <w:ilvl w:val="0"/>
                <w:numId w:val="2"/>
              </w:numPr>
              <w:spacing w:line="240" w:lineRule="auto"/>
              <w:ind w:left="720" w:hanging="360"/>
              <w:rPr>
                <w:u w:val="none"/>
              </w:rPr>
            </w:pPr>
            <w:r w:rsidDel="00000000" w:rsidR="00000000" w:rsidRPr="00000000">
              <w:rPr>
                <w:rtl w:val="0"/>
              </w:rPr>
              <w:t xml:space="preserve">Grade 2/3 -&gt; Reduce dose by 1 level</w:t>
            </w:r>
          </w:p>
          <w:p w:rsidR="00000000" w:rsidDel="00000000" w:rsidP="00000000" w:rsidRDefault="00000000" w:rsidRPr="00000000" w14:paraId="00000085">
            <w:pPr>
              <w:spacing w:line="240" w:lineRule="auto"/>
              <w:rPr/>
            </w:pPr>
            <w:r w:rsidDel="00000000" w:rsidR="00000000" w:rsidRPr="00000000">
              <w:rPr>
                <w:rtl w:val="0"/>
              </w:rPr>
              <w:t xml:space="preserve">9. Mucositis</w:t>
            </w:r>
          </w:p>
          <w:p w:rsidR="00000000" w:rsidDel="00000000" w:rsidP="00000000" w:rsidRDefault="00000000" w:rsidRPr="00000000" w14:paraId="00000086">
            <w:pPr>
              <w:numPr>
                <w:ilvl w:val="0"/>
                <w:numId w:val="13"/>
              </w:numPr>
              <w:spacing w:line="240" w:lineRule="auto"/>
              <w:ind w:left="720" w:hanging="360"/>
              <w:rPr>
                <w:u w:val="none"/>
              </w:rPr>
            </w:pPr>
            <w:r w:rsidDel="00000000" w:rsidR="00000000" w:rsidRPr="00000000">
              <w:rPr>
                <w:rtl w:val="0"/>
              </w:rPr>
              <w:t xml:space="preserve">Grade 3/4 -&gt; Reduce dose by 1 level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tests after a few cycles if any</w:t>
            </w:r>
          </w:p>
        </w:tc>
        <w:tc>
          <w:tcPr>
            <w:shd w:fill="auto" w:val="clear"/>
            <w:tcMar>
              <w:top w:w="100.0" w:type="dxa"/>
              <w:left w:w="100.0" w:type="dxa"/>
              <w:bottom w:w="100.0" w:type="dxa"/>
              <w:right w:w="100.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DPD Testing to be done before Start of Treatment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Cardiac Functions at baseline and whenever clinically indicated.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Adverse events</w:t>
            </w:r>
          </w:p>
        </w:tc>
        <w:tc>
          <w:tcPr>
            <w:shd w:fill="auto" w:val="clear"/>
            <w:tcMar>
              <w:top w:w="100.0" w:type="dxa"/>
              <w:left w:w="100.0" w:type="dxa"/>
              <w:bottom w:w="100.0" w:type="dxa"/>
              <w:right w:w="10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Increased Risk of Serious or Fatal Adverse Reactions in Patients with Low or Absent Dipyrimidine Dehydrogenase Activity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Cardiotoxicity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Hyperammonemic Encephalopathy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Neurologic Toxicity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Diarrhea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Palmar-Plantar Erythrodysesthesia (Hand-Foot Syndrome)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Myelosuppression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Mucositis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Increased Risk of Elevated INR with Warfarin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Embryofetal Toxicity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of death</w:t>
            </w:r>
          </w:p>
        </w:tc>
        <w:tc>
          <w:tcPr>
            <w:shd w:fill="auto" w:val="clear"/>
            <w:tcMar>
              <w:top w:w="100.0" w:type="dxa"/>
              <w:left w:w="100.0" w:type="dxa"/>
              <w:bottom w:w="100.0" w:type="dxa"/>
              <w:right w:w="10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&lt;1%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p>
        </w:tc>
        <w:tc>
          <w:tcPr>
            <w:shd w:fill="auto" w:val="clear"/>
            <w:tcMar>
              <w:top w:w="100.0" w:type="dxa"/>
              <w:left w:w="100.0" w:type="dxa"/>
              <w:bottom w:w="100.0" w:type="dxa"/>
              <w:right w:w="10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FDA label</w:t>
            </w:r>
          </w:p>
        </w:tc>
      </w:tr>
    </w:tbl>
    <w:p w:rsidR="00000000" w:rsidDel="00000000" w:rsidP="00000000" w:rsidRDefault="00000000" w:rsidRPr="00000000" w14:paraId="0000009C">
      <w:pPr>
        <w:spacing w:line="240" w:lineRule="auto"/>
        <w:rPr>
          <w:rFonts w:ascii="Georgia" w:cs="Georgia" w:eastAsia="Georgia" w:hAnsi="Georgia"/>
          <w:color w:val="000000"/>
          <w:sz w:val="23"/>
          <w:szCs w:val="23"/>
          <w:shd w:fill="f6f6f6"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libri"/>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pPr>
      <w:keepNext w:val="1"/>
      <w:keepLines w:val="1"/>
      <w:spacing w:after="120" w:before="400"/>
      <w:outlineLvl w:val="0"/>
    </w:pPr>
    <w:rPr>
      <w:sz w:val="40"/>
      <w:szCs w:val="40"/>
    </w:rPr>
  </w:style>
  <w:style w:type="paragraph" w:styleId="Heading2">
    <w:name w:val="heading 2"/>
    <w:basedOn w:val="Normal1"/>
    <w:next w:val="Normal1"/>
    <w:pPr>
      <w:keepNext w:val="1"/>
      <w:keepLines w:val="1"/>
      <w:spacing w:after="120" w:before="360"/>
      <w:outlineLvl w:val="1"/>
    </w:pPr>
    <w:rPr>
      <w:sz w:val="32"/>
      <w:szCs w:val="32"/>
    </w:rPr>
  </w:style>
  <w:style w:type="paragraph" w:styleId="Heading3">
    <w:name w:val="heading 3"/>
    <w:basedOn w:val="Normal1"/>
    <w:next w:val="Normal1"/>
    <w:pPr>
      <w:keepNext w:val="1"/>
      <w:keepLines w:val="1"/>
      <w:spacing w:after="80" w:before="320"/>
      <w:outlineLvl w:val="2"/>
    </w:pPr>
    <w:rPr>
      <w:color w:val="434343"/>
      <w:sz w:val="28"/>
      <w:szCs w:val="28"/>
    </w:rPr>
  </w:style>
  <w:style w:type="paragraph" w:styleId="Heading4">
    <w:name w:val="heading 4"/>
    <w:basedOn w:val="Normal1"/>
    <w:next w:val="Normal1"/>
    <w:pPr>
      <w:keepNext w:val="1"/>
      <w:keepLines w:val="1"/>
      <w:spacing w:after="80" w:before="280"/>
      <w:outlineLvl w:val="3"/>
    </w:pPr>
    <w:rPr>
      <w:color w:val="666666"/>
      <w:sz w:val="24"/>
      <w:szCs w:val="24"/>
    </w:rPr>
  </w:style>
  <w:style w:type="paragraph" w:styleId="Heading5">
    <w:name w:val="heading 5"/>
    <w:basedOn w:val="Normal1"/>
    <w:next w:val="Normal1"/>
    <w:pPr>
      <w:keepNext w:val="1"/>
      <w:keepLines w:val="1"/>
      <w:spacing w:after="80" w:before="240"/>
      <w:outlineLvl w:val="4"/>
    </w:pPr>
    <w:rPr>
      <w:color w:val="666666"/>
    </w:rPr>
  </w:style>
  <w:style w:type="paragraph" w:styleId="Heading6">
    <w:name w:val="heading 6"/>
    <w:basedOn w:val="Normal1"/>
    <w:next w:val="Norm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style>
  <w:style w:type="paragraph" w:styleId="Title">
    <w:name w:val="Title"/>
    <w:basedOn w:val="Normal1"/>
    <w:next w:val="Normal1"/>
    <w:pPr>
      <w:keepNext w:val="1"/>
      <w:keepLines w:val="1"/>
      <w:spacing w:after="60"/>
    </w:pPr>
    <w:rPr>
      <w:sz w:val="52"/>
      <w:szCs w:val="52"/>
    </w:rPr>
  </w:style>
  <w:style w:type="paragraph" w:styleId="Subtitle">
    <w:name w:val="Subtitle"/>
    <w:basedOn w:val="Normal1"/>
    <w:next w:val="Norm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a0" w:customStyle="1">
    <w:name w:val="Pa0"/>
    <w:basedOn w:val="Normal"/>
    <w:next w:val="Normal"/>
    <w:uiPriority w:val="99"/>
    <w:rsid w:val="008D10A2"/>
    <w:pPr>
      <w:widowControl w:val="0"/>
      <w:autoSpaceDE w:val="0"/>
      <w:autoSpaceDN w:val="0"/>
      <w:adjustRightInd w:val="0"/>
      <w:spacing w:line="161" w:lineRule="atLeast"/>
    </w:pPr>
    <w:rPr>
      <w:rFonts w:ascii="ITC Franklin Gothic Std Bk Cd" w:cs="Times New Roman" w:hAnsi="ITC Franklin Gothic Std Bk Cd"/>
      <w:sz w:val="24"/>
      <w:szCs w:val="24"/>
      <w:lang w:val="en-US"/>
    </w:rPr>
  </w:style>
  <w:style w:type="character" w:styleId="A4" w:customStyle="1">
    <w:name w:val="A4"/>
    <w:uiPriority w:val="99"/>
    <w:rsid w:val="008D10A2"/>
    <w:rPr>
      <w:rFonts w:cs="ITC Franklin Gothic Std Bk Cd"/>
      <w:color w:val="000000"/>
      <w:sz w:val="9"/>
      <w:szCs w:val="9"/>
    </w:rPr>
  </w:style>
  <w:style w:type="paragraph" w:styleId="Default" w:customStyle="1">
    <w:name w:val="Default"/>
    <w:rsid w:val="000F2747"/>
    <w:pPr>
      <w:widowControl w:val="0"/>
      <w:autoSpaceDE w:val="0"/>
      <w:autoSpaceDN w:val="0"/>
      <w:adjustRightInd w:val="0"/>
      <w:spacing w:line="240" w:lineRule="auto"/>
    </w:pPr>
    <w:rPr>
      <w:rFonts w:ascii="ITC Franklin Gothic Std Bk Cd" w:cs="ITC Franklin Gothic Std Bk Cd" w:hAnsi="ITC Franklin Gothic Std Bk Cd"/>
      <w:color w:val="000000"/>
      <w:sz w:val="24"/>
      <w:szCs w:val="24"/>
      <w:lang w:val="en-US"/>
    </w:rPr>
  </w:style>
  <w:style w:type="paragraph" w:styleId="ListParagraph">
    <w:name w:val="List Paragraph"/>
    <w:basedOn w:val="Normal"/>
    <w:uiPriority w:val="34"/>
    <w:qFormat w:val="1"/>
    <w:rsid w:val="003931F4"/>
    <w:pPr>
      <w:ind w:left="720"/>
      <w:contextualSpacing w:val="1"/>
    </w:pPr>
  </w:style>
  <w:style w:type="paragraph" w:styleId="NormalWeb">
    <w:name w:val="Normal (Web)"/>
    <w:basedOn w:val="Normal"/>
    <w:uiPriority w:val="99"/>
    <w:unhideWhenUsed w:val="1"/>
    <w:rsid w:val="006040A5"/>
    <w:pPr>
      <w:spacing w:after="100" w:afterAutospacing="1" w:before="100" w:beforeAutospacing="1" w:line="240" w:lineRule="auto"/>
    </w:pPr>
    <w:rPr>
      <w:rFonts w:ascii="Times New Roman" w:cs="Times New Roman" w:eastAsia="Times New Roman" w:hAnsi="Times New Roman"/>
      <w:sz w:val="24"/>
      <w:szCs w:val="24"/>
      <w:lang w:eastAsia="en-GB" w:val="en-IN"/>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7DM5zNTYthX2SkqkceVpk8inWw==">CgMxLjAaJAoBMBIfCh0IB0IZCgVBcmlhbBIQQXJpYWwgVW5pY29kZSBNUxokCgExEh8KHQgHQhkKBUFyaWFsEhBBcmlhbCBVbmljb2RlIE1TGiQKATISHwodCAdCGQoFQXJpYWwSEEFyaWFsIFVuaWNvZGUgTVM4AHIhMW53Y2otc05Gd29mQ0JQczJhYmZnd1pIbzFjTXBHcGhh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2021-03-29T11:23:00Z</dcterms:created>
</cp:coreProperties>
</file>