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ETF 国家队轮动策略 — 进阶优化报告</w:t>
      </w:r>
    </w:p>
    <w:p>
      <w:r>
        <w:t>日期: 2026-06-12 | 基于 T05 网格搜索 + T06 进阶测试</w:t>
      </w:r>
    </w:p>
    <w:p>
      <w:pPr>
        <w:pStyle w:val="Heading2"/>
      </w:pPr>
      <w:r>
        <w:t>1. 优化历程</w:t>
      </w:r>
    </w:p>
    <w:p>
      <w:pPr>
        <w:pStyle w:val="Heading3"/>
      </w:pPr>
      <w:r>
        <w:t>Phase 1: 核心参数（152 组）</w:t>
      </w:r>
    </w:p>
    <w:p>
      <w:r>
        <w:t>- 权重 50/50 &gt; 60/40 &gt; 70/30</w:t>
      </w:r>
    </w:p>
    <w:p>
      <w:r>
        <w:t>- 动量 14d &gt; 21d &gt; 33d</w:t>
      </w:r>
    </w:p>
    <w:p>
      <w:r>
        <w:t>- 持仓 8只 &gt; 5只 &gt; 10只</w:t>
      </w:r>
    </w:p>
    <w:p>
      <w:r>
        <w:t>- 候选 Top10 &gt; Top5</w:t>
      </w:r>
    </w:p>
    <w:p>
      <w:pPr>
        <w:pStyle w:val="Heading3"/>
      </w:pPr>
      <w:r>
        <w:t>Phase 2: 增强策略（80 组）</w:t>
      </w:r>
    </w:p>
    <w:p>
      <w:r>
        <w:t>- MA 闸门: ❌ 全面降低收益</w:t>
      </w:r>
    </w:p>
    <w:p>
      <w:r>
        <w:t>- 绝对动量过滤: ➖ 微小正向</w:t>
      </w:r>
    </w:p>
    <w:p>
      <w:r>
        <w:t>- 仓位缩放: ❌ 降低收益</w:t>
      </w:r>
    </w:p>
    <w:p>
      <w:pPr>
        <w:pStyle w:val="Heading3"/>
      </w:pPr>
      <w:r>
        <w:t>Phase 3: 进阶优化（本报告）</w:t>
      </w:r>
    </w:p>
    <w:p>
      <w:pPr>
        <w:pStyle w:val="Heading2"/>
      </w:pPr>
      <w:r>
        <w:t>2. 被否决的增强方案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基线</w:t>
            </w:r>
          </w:p>
        </w:tc>
        <w:tc>
          <w:tcPr>
            <w:tcW w:type="dxa" w:w="2160"/>
          </w:tcPr>
          <w:p>
            <w:r>
              <w:t>优化后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</w:tr>
      <w:tr>
        <w:tc>
          <w:tcPr>
            <w:tcW w:type="dxa" w:w="2160"/>
          </w:tcPr>
          <w:p>
            <w:r>
              <w:t>得分²加权</w:t>
            </w:r>
          </w:p>
        </w:tc>
        <w:tc>
          <w:tcPr>
            <w:tcW w:type="dxa" w:w="2160"/>
          </w:tcPr>
          <w:p>
            <w:r>
              <w:t>23.67%</w:t>
            </w:r>
          </w:p>
        </w:tc>
        <w:tc>
          <w:tcPr>
            <w:tcW w:type="dxa" w:w="2160"/>
          </w:tcPr>
          <w:p>
            <w:r>
              <w:t>22.40%</w:t>
            </w:r>
          </w:p>
        </w:tc>
        <w:tc>
          <w:tcPr>
            <w:tcW w:type="dxa" w:w="2160"/>
          </w:tcPr>
          <w:p>
            <w:r>
              <w:t>❌ 等权重更优</w:t>
            </w:r>
          </w:p>
        </w:tc>
      </w:tr>
      <w:tr>
        <w:tc>
          <w:tcPr>
            <w:tcW w:type="dxa" w:w="2160"/>
          </w:tcPr>
          <w:p>
            <w:r>
              <w:t>行业中性(Max3)</w:t>
            </w:r>
          </w:p>
        </w:tc>
        <w:tc>
          <w:tcPr>
            <w:tcW w:type="dxa" w:w="2160"/>
          </w:tcPr>
          <w:p>
            <w:r>
              <w:t>23.67%</w:t>
            </w:r>
          </w:p>
        </w:tc>
        <w:tc>
          <w:tcPr>
            <w:tcW w:type="dxa" w:w="2160"/>
          </w:tcPr>
          <w:p>
            <w:r>
              <w:t>22.57%</w:t>
            </w:r>
          </w:p>
        </w:tc>
        <w:tc>
          <w:tcPr>
            <w:tcW w:type="dxa" w:w="2160"/>
          </w:tcPr>
          <w:p>
            <w:r>
              <w:t>❌ 约束降低收益</w:t>
            </w:r>
          </w:p>
        </w:tc>
      </w:tr>
      <w:tr>
        <w:tc>
          <w:tcPr>
            <w:tcW w:type="dxa" w:w="2160"/>
          </w:tcPr>
          <w:p>
            <w:r>
              <w:t>行业中性(Max2)</w:t>
            </w:r>
          </w:p>
        </w:tc>
        <w:tc>
          <w:tcPr>
            <w:tcW w:type="dxa" w:w="2160"/>
          </w:tcPr>
          <w:p>
            <w:r>
              <w:t>23.67%</w:t>
            </w:r>
          </w:p>
        </w:tc>
        <w:tc>
          <w:tcPr>
            <w:tcW w:type="dxa" w:w="2160"/>
          </w:tcPr>
          <w:p>
            <w:r>
              <w:t>21.87%</w:t>
            </w:r>
          </w:p>
        </w:tc>
        <w:tc>
          <w:tcPr>
            <w:tcW w:type="dxa" w:w="2160"/>
          </w:tcPr>
          <w:p>
            <w:r>
              <w:t>❌ 更严格=更差</w:t>
            </w:r>
          </w:p>
        </w:tc>
      </w:tr>
      <w:tr>
        <w:tc>
          <w:tcPr>
            <w:tcW w:type="dxa" w:w="2160"/>
          </w:tcPr>
          <w:p>
            <w:r>
              <w:t>多周期动量(7+14)</w:t>
            </w:r>
          </w:p>
        </w:tc>
        <w:tc>
          <w:tcPr>
            <w:tcW w:type="dxa" w:w="2160"/>
          </w:tcPr>
          <w:p>
            <w:r>
              <w:t>23.67%</w:t>
            </w:r>
          </w:p>
        </w:tc>
        <w:tc>
          <w:tcPr>
            <w:tcW w:type="dxa" w:w="2160"/>
          </w:tcPr>
          <w:p>
            <w:r>
              <w:t>19.27%</w:t>
            </w:r>
          </w:p>
        </w:tc>
        <w:tc>
          <w:tcPr>
            <w:tcW w:type="dxa" w:w="2160"/>
          </w:tcPr>
          <w:p>
            <w:r>
              <w:t>❌ 信号冲突</w:t>
            </w:r>
          </w:p>
        </w:tc>
      </w:tr>
      <w:tr>
        <w:tc>
          <w:tcPr>
            <w:tcW w:type="dxa" w:w="2160"/>
          </w:tcPr>
          <w:p>
            <w:r>
              <w:t>多周期+过滤</w:t>
            </w:r>
          </w:p>
        </w:tc>
        <w:tc>
          <w:tcPr>
            <w:tcW w:type="dxa" w:w="2160"/>
          </w:tcPr>
          <w:p>
            <w:r>
              <w:t>23.67%</w:t>
            </w:r>
          </w:p>
        </w:tc>
        <w:tc>
          <w:tcPr>
            <w:tcW w:type="dxa" w:w="2160"/>
          </w:tcPr>
          <w:p>
            <w:r>
              <w:t>17.27%</w:t>
            </w:r>
          </w:p>
        </w:tc>
        <w:tc>
          <w:tcPr>
            <w:tcW w:type="dxa" w:w="2160"/>
          </w:tcPr>
          <w:p>
            <w:r>
              <w:t>❌ 叠加更差</w:t>
            </w:r>
          </w:p>
        </w:tc>
      </w:tr>
    </w:tbl>
    <w:p>
      <w:r>
        <w:t>核心发现: 在此策略框架下，每增加一层复杂度，CAGR 系统性下降 1-5%。最优策略就是最简单的 50/50 + 14d + Top10→8只 + 等权重。</w:t>
      </w:r>
    </w:p>
    <w:p>
      <w:pPr>
        <w:pStyle w:val="Heading3"/>
      </w:pPr>
      <w:r>
        <w:t>为什么简约更优？</w:t>
      </w:r>
    </w:p>
    <w:p>
      <w:r>
        <w:t>1. A 股轮动速度快: 14d 捕获信号已足够，多周期融合引入噪音</w:t>
      </w:r>
    </w:p>
    <w:p>
      <w:r>
        <w:t>2. 行业约束适得其反: 强 momentum 常集中在少数行业，强制分散等于买入"二等"ETF</w:t>
      </w:r>
    </w:p>
    <w:p>
      <w:r>
        <w:t>3. 得分加权过度集中: 最高分 ETF 未必持续跑赢，等权重天然抑制过拟合</w:t>
      </w:r>
    </w:p>
    <w:p>
      <w:pPr>
        <w:pStyle w:val="Heading2"/>
      </w:pPr>
      <w:r>
        <w:t>3. Walk-Forward 验证</w:t>
      </w:r>
    </w:p>
    <w:p>
      <w:r>
        <w:t>训练期: 2022-2023 (熊市) | 测试期: 2024-2026 (牛市)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参数</w:t>
            </w:r>
          </w:p>
        </w:tc>
        <w:tc>
          <w:tcPr>
            <w:tcW w:type="dxa" w:w="2160"/>
          </w:tcPr>
          <w:p>
            <w:r>
              <w:t>OOS CAGR</w:t>
            </w:r>
          </w:p>
        </w:tc>
        <w:tc>
          <w:tcPr>
            <w:tcW w:type="dxa" w:w="2160"/>
          </w:tcPr>
          <w:p>
            <w:r>
              <w:t>OOS Sharpe</w:t>
            </w:r>
          </w:p>
        </w:tc>
        <w:tc>
          <w:tcPr>
            <w:tcW w:type="dxa" w:w="2160"/>
          </w:tcPr>
          <w:p>
            <w:r>
              <w:t>OOS MaxDD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  <w:tc>
          <w:tcPr>
            <w:tcW w:type="dxa" w:w="2160"/>
          </w:tcPr>
          <w:p>
            <w:r>
              <w:t>-----------</w:t>
            </w:r>
          </w:p>
        </w:tc>
      </w:tr>
      <w:tr>
        <w:tc>
          <w:tcPr>
            <w:tcW w:type="dxa" w:w="2160"/>
          </w:tcPr>
          <w:p>
            <w:r>
              <w:t>50/50, 14d</w:t>
            </w:r>
          </w:p>
        </w:tc>
        <w:tc>
          <w:tcPr>
            <w:tcW w:type="dxa" w:w="2160"/>
          </w:tcPr>
          <w:p>
            <w:r>
              <w:t>**52.03%**</w:t>
            </w:r>
          </w:p>
        </w:tc>
        <w:tc>
          <w:tcPr>
            <w:tcW w:type="dxa" w:w="2160"/>
          </w:tcPr>
          <w:p>
            <w:r>
              <w:t>**1.58**</w:t>
            </w:r>
          </w:p>
        </w:tc>
        <w:tc>
          <w:tcPr>
            <w:tcW w:type="dxa" w:w="2160"/>
          </w:tcPr>
          <w:p>
            <w:r>
              <w:t>**-16.10%**</w:t>
            </w:r>
          </w:p>
        </w:tc>
      </w:tr>
      <w:tr>
        <w:tc>
          <w:tcPr>
            <w:tcW w:type="dxa" w:w="2160"/>
          </w:tcPr>
          <w:p>
            <w:r>
              <w:t>60/40, 14d</w:t>
            </w:r>
          </w:p>
        </w:tc>
        <w:tc>
          <w:tcPr>
            <w:tcW w:type="dxa" w:w="2160"/>
          </w:tcPr>
          <w:p>
            <w:r>
              <w:t>47.25%</w:t>
            </w:r>
          </w:p>
        </w:tc>
        <w:tc>
          <w:tcPr>
            <w:tcW w:type="dxa" w:w="2160"/>
          </w:tcPr>
          <w:p>
            <w:r>
              <w:t>1.45</w:t>
            </w:r>
          </w:p>
        </w:tc>
        <w:tc>
          <w:tcPr>
            <w:tcW w:type="dxa" w:w="2160"/>
          </w:tcPr>
          <w:p>
            <w:r>
              <w:t>-18.47%</w:t>
            </w:r>
          </w:p>
        </w:tc>
      </w:tr>
      <w:tr>
        <w:tc>
          <w:tcPr>
            <w:tcW w:type="dxa" w:w="2160"/>
          </w:tcPr>
          <w:p>
            <w:r>
              <w:t>50/50, 21d</w:t>
            </w:r>
          </w:p>
        </w:tc>
        <w:tc>
          <w:tcPr>
            <w:tcW w:type="dxa" w:w="2160"/>
          </w:tcPr>
          <w:p>
            <w:r>
              <w:t>40.99%</w:t>
            </w:r>
          </w:p>
        </w:tc>
        <w:tc>
          <w:tcPr>
            <w:tcW w:type="dxa" w:w="2160"/>
          </w:tcPr>
          <w:p>
            <w:r>
              <w:t>1.30</w:t>
            </w:r>
          </w:p>
        </w:tc>
        <w:tc>
          <w:tcPr>
            <w:tcW w:type="dxa" w:w="2160"/>
          </w:tcPr>
          <w:p>
            <w:r>
              <w:t>-19.61%</w:t>
            </w:r>
          </w:p>
        </w:tc>
      </w:tr>
      <w:tr>
        <w:tc>
          <w:tcPr>
            <w:tcW w:type="dxa" w:w="2160"/>
          </w:tcPr>
          <w:p>
            <w:r>
              <w:t>70/30, 14d</w:t>
            </w:r>
          </w:p>
        </w:tc>
        <w:tc>
          <w:tcPr>
            <w:tcW w:type="dxa" w:w="2160"/>
          </w:tcPr>
          <w:p>
            <w:r>
              <w:t>45.63%</w:t>
            </w:r>
          </w:p>
        </w:tc>
        <w:tc>
          <w:tcPr>
            <w:tcW w:type="dxa" w:w="2160"/>
          </w:tcPr>
          <w:p>
            <w:r>
              <w:t>1.41</w:t>
            </w:r>
          </w:p>
        </w:tc>
        <w:tc>
          <w:tcPr>
            <w:tcW w:type="dxa" w:w="2160"/>
          </w:tcPr>
          <w:p>
            <w:r>
              <w:t>-19.28%</w:t>
            </w:r>
          </w:p>
        </w:tc>
      </w:tr>
    </w:tbl>
    <w:p>
      <w:r>
        <w:t>结论: 参数在样本外表现优异，证明策略逻辑而非过拟合。</w:t>
      </w:r>
    </w:p>
    <w:p>
      <w:pPr>
        <w:pStyle w:val="Heading2"/>
      </w:pPr>
      <w:r>
        <w:t>4. 最终推荐参数</w:t>
      </w:r>
    </w:p>
    <w:p>
      <w:r>
        <w:rPr>
          <w:rFonts w:ascii="Consolas" w:hAnsi="Consolas"/>
          <w:sz w:val="18"/>
        </w:rPr>
        <w:t>PARAMS = {</w:t>
        <w:br/>
        <w:t xml:space="preserve">    'momentum_weight': 0.50,</w:t>
        <w:br/>
        <w:t xml:space="preserve">    'volatility_weight': 0.50,</w:t>
        <w:br/>
        <w:t xml:space="preserve">    'mom_bars': 14,          # 14 个交易日 ≈ 3 周</w:t>
        <w:br/>
        <w:t xml:space="preserve">    'vol_short': 5,</w:t>
        <w:br/>
        <w:t xml:space="preserve">    'vol_long': 44,</w:t>
        <w:br/>
        <w:t xml:space="preserve">    'rank_min': 1,</w:t>
        <w:br/>
        <w:t xml:space="preserve">    'rank_max': 10,</w:t>
        <w:br/>
        <w:t xml:space="preserve">    'top_n': 8,              # 8 只是 Sharpe-CAGR 平衡点</w:t>
        <w:br/>
        <w:t xml:space="preserve">    'selection_mode': 'top', # 头部选股</w:t>
        <w:br/>
        <w:t xml:space="preserve">    'score_power': 1.0,      # 等权重</w:t>
        <w:br/>
        <w:t xml:space="preserve">    'position': 1.0,         # 满仓</w:t>
        <w:br/>
        <w:t>}</w:t>
      </w:r>
    </w:p>
    <w:p>
      <w:pPr>
        <w:pStyle w:val="Heading2"/>
      </w:pPr>
      <w:r>
        <w:t>5. 性能边界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场景</w:t>
            </w:r>
          </w:p>
        </w:tc>
        <w:tc>
          <w:tcPr>
            <w:tcW w:type="dxa" w:w="2160"/>
          </w:tcPr>
          <w:p>
            <w:r>
              <w:t>CAGR</w:t>
            </w:r>
          </w:p>
        </w:tc>
        <w:tc>
          <w:tcPr>
            <w:tcW w:type="dxa" w:w="2160"/>
          </w:tcPr>
          <w:p>
            <w:r>
              <w:t>Sharpe</w:t>
            </w:r>
          </w:p>
        </w:tc>
        <w:tc>
          <w:tcPr>
            <w:tcW w:type="dxa" w:w="2160"/>
          </w:tcPr>
          <w:p>
            <w:r>
              <w:t>MaxDD</w:t>
            </w:r>
          </w:p>
        </w:tc>
      </w:tr>
      <w:tr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</w:t>
            </w:r>
          </w:p>
        </w:tc>
        <w:tc>
          <w:tcPr>
            <w:tcW w:type="dxa" w:w="2160"/>
          </w:tcPr>
          <w:p>
            <w:r>
              <w:t>--------</w:t>
            </w:r>
          </w:p>
        </w:tc>
        <w:tc>
          <w:tcPr>
            <w:tcW w:type="dxa" w:w="2160"/>
          </w:tcPr>
          <w:p>
            <w:r>
              <w:t>-------</w:t>
            </w:r>
          </w:p>
        </w:tc>
      </w:tr>
      <w:tr>
        <w:tc>
          <w:tcPr>
            <w:tcW w:type="dxa" w:w="2160"/>
          </w:tcPr>
          <w:p>
            <w:r>
              <w:t>全期 (2022-2026)</w:t>
            </w:r>
          </w:p>
        </w:tc>
        <w:tc>
          <w:tcPr>
            <w:tcW w:type="dxa" w:w="2160"/>
          </w:tcPr>
          <w:p>
            <w:r>
              <w:t>25.3%</w:t>
            </w:r>
          </w:p>
        </w:tc>
        <w:tc>
          <w:tcPr>
            <w:tcW w:type="dxa" w:w="2160"/>
          </w:tcPr>
          <w:p>
            <w:r>
              <w:t>0.97</w:t>
            </w:r>
          </w:p>
        </w:tc>
        <w:tc>
          <w:tcPr>
            <w:tcW w:type="dxa" w:w="2160"/>
          </w:tcPr>
          <w:p>
            <w:r>
              <w:t>-29.0%</w:t>
            </w:r>
          </w:p>
        </w:tc>
      </w:tr>
      <w:tr>
        <w:tc>
          <w:tcPr>
            <w:tcW w:type="dxa" w:w="2160"/>
          </w:tcPr>
          <w:p>
            <w:r>
              <w:t>OOS (2024-2026)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  <w:tc>
          <w:tcPr>
            <w:tcW w:type="dxa" w:w="2160"/>
          </w:tcPr>
          <w:p>
            <w:r>
              <w:t>1.58</w:t>
            </w:r>
          </w:p>
        </w:tc>
        <w:tc>
          <w:tcPr>
            <w:tcW w:type="dxa" w:w="2160"/>
          </w:tcPr>
          <w:p>
            <w:r>
              <w:t>-16.1%</w:t>
            </w:r>
          </w:p>
        </w:tc>
      </w:tr>
      <w:tr>
        <w:tc>
          <w:tcPr>
            <w:tcW w:type="dxa" w:w="2160"/>
          </w:tcPr>
          <w:p>
            <w:r>
              <w:t>熊市 (2022)</w:t>
            </w:r>
          </w:p>
        </w:tc>
        <w:tc>
          <w:tcPr>
            <w:tcW w:type="dxa" w:w="2160"/>
          </w:tcPr>
          <w:p>
            <w:r>
              <w:t>~-4%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牛市 (2024-2025)</w:t>
            </w:r>
          </w:p>
        </w:tc>
        <w:tc>
          <w:tcPr>
            <w:tcW w:type="dxa" w:w="2160"/>
          </w:tcPr>
          <w:p>
            <w:r>
              <w:t>~+56%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>
        <w:t>注意: 历史表现不代表未来。2024-2026 的极端牛市放大了收益数字。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