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股etf-网格交易回测分析报告"/>
    <w:p>
      <w:pPr>
        <w:pStyle w:val="Heading1"/>
      </w:pPr>
      <w:r>
        <w:rPr>
          <w:rFonts w:hint="eastAsia"/>
        </w:rPr>
        <w:t xml:space="preserve">A股ETF</w:t>
      </w:r>
      <w:r>
        <w:t xml:space="preserve"> </w:t>
      </w:r>
      <w:r>
        <w:rPr>
          <w:rFonts w:hint="eastAsia"/>
        </w:rPr>
        <w:t xml:space="preserve">网格交易回测分析报告</w:t>
      </w:r>
    </w:p>
    <w:p>
      <w:pPr>
        <w:pStyle w:val="BlockText"/>
      </w:pPr>
      <w:r>
        <w:rPr>
          <w:rFonts w:hint="eastAsia"/>
        </w:rPr>
        <w:t xml:space="preserve">生成时间：2026-06-12</w:t>
      </w:r>
      <w:r>
        <w:t xml:space="preserve"> | </w:t>
      </w:r>
      <w:r>
        <w:rPr>
          <w:rFonts w:hint="eastAsia"/>
        </w:rPr>
        <w:t xml:space="preserve">数据范围：2024-01-01</w:t>
      </w:r>
      <w:r>
        <w:t xml:space="preserve"> ~ 2026-06-10</w:t>
      </w:r>
      <w:r>
        <w:t xml:space="preserve"> </w:t>
      </w:r>
      <w:r>
        <w:rPr>
          <w:rFonts w:hint="eastAsia"/>
        </w:rPr>
        <w:t xml:space="preserve">标的池：45</w:t>
      </w:r>
      <w:r>
        <w:t xml:space="preserve"> </w:t>
      </w:r>
      <w:r>
        <w:rPr>
          <w:rFonts w:hint="eastAsia"/>
        </w:rPr>
        <w:t xml:space="preserve">只主流</w:t>
      </w:r>
      <w:r>
        <w:t xml:space="preserve"> ETF | </w:t>
      </w:r>
      <w:r>
        <w:rPr>
          <w:rFonts w:hint="eastAsia"/>
        </w:rPr>
        <w:t xml:space="preserve">参数扫描：5,040</w:t>
      </w:r>
      <w:r>
        <w:t xml:space="preserve"> </w:t>
      </w:r>
      <w:r>
        <w:rPr>
          <w:rFonts w:hint="eastAsia"/>
        </w:rPr>
        <w:t xml:space="preserve">次回测</w:t>
      </w:r>
      <w:r>
        <w:t xml:space="preserve"> </w:t>
      </w:r>
      <w:r>
        <w:rPr>
          <w:rFonts w:hint="eastAsia"/>
        </w:rPr>
        <w:t xml:space="preserve">引擎：grid-backtest</w:t>
      </w:r>
      <w:r>
        <w:t xml:space="preserve"> Phase 1</w:t>
      </w:r>
    </w:p>
    <w:p>
      <w:r>
        <w:pict>
          <v:rect style="width:0;height:1.5pt" o:hralign="center" o:hrstd="t" o:hr="t"/>
        </w:pict>
      </w:r>
    </w:p>
    <w:bookmarkStart w:id="11" w:name="一核心发现"/>
    <w:p>
      <w:pPr>
        <w:pStyle w:val="Heading2"/>
      </w:pPr>
      <w:r>
        <w:rPr>
          <w:rFonts w:hint="eastAsia"/>
        </w:rPr>
        <w:t xml:space="preserve">一、核心发现</w:t>
      </w:r>
    </w:p>
    <w:bookmarkStart w:id="9" w:name="网格策略总体表现"/>
    <w:p>
      <w:pPr>
        <w:pStyle w:val="Heading3"/>
      </w:pPr>
      <w:r>
        <w:t xml:space="preserve">1.1 </w:t>
      </w:r>
      <w:r>
        <w:rPr>
          <w:rFonts w:hint="eastAsia"/>
        </w:rPr>
        <w:t xml:space="preserve">网格策略总体表现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正收益</w:t>
            </w:r>
            <w:r>
              <w:t xml:space="preserve"> ETF </w:t>
            </w: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45/45 (100%)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夏普&gt;0</w:t>
            </w:r>
            <w:r>
              <w:t xml:space="preserve"> </w:t>
            </w: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32/45 (71%)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平均夏普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最高夏普</w:t>
            </w:r>
          </w:p>
        </w:tc>
        <w:tc>
          <w:tcPr/>
          <w:p>
            <w:pPr>
              <w:pStyle w:val="Compact"/>
            </w:pPr>
            <w:r>
              <w:t xml:space="preserve">1.82 </w:t>
            </w:r>
            <w:r>
              <w:rPr>
                <w:rFonts w:hint="eastAsia"/>
              </w:rPr>
              <w:t xml:space="preserve">(银行ETF)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回撤&lt;5%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ETF</w:t>
            </w:r>
          </w:p>
        </w:tc>
        <w:tc>
          <w:tcPr/>
          <w:p>
            <w:pPr>
              <w:pStyle w:val="Compact"/>
            </w:pPr>
            <w:r>
              <w:t xml:space="preserve">13/45 (29%)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：网格策略在</w:t>
      </w:r>
      <w:r>
        <w:t xml:space="preserve"> 2024-2025 </w:t>
      </w:r>
      <w:r>
        <w:rPr>
          <w:rFonts w:hint="eastAsia"/>
        </w:rPr>
        <w:t xml:space="preserve">年</w:t>
      </w:r>
      <w:r>
        <w:t xml:space="preserve"> A </w:t>
      </w:r>
      <w:r>
        <w:rPr>
          <w:rFonts w:hint="eastAsia"/>
        </w:rPr>
        <w:t xml:space="preserve">股震荡上行市中整体有效，但</w:t>
      </w:r>
      <w:r>
        <w:t xml:space="preserve"> ETF </w:t>
      </w:r>
      <w:r>
        <w:rPr>
          <w:rFonts w:hint="eastAsia"/>
        </w:rPr>
        <w:t xml:space="preserve">之间的适配度差异极大。</w:t>
      </w:r>
    </w:p>
    <w:bookmarkEnd w:id="9"/>
    <w:bookmarkStart w:id="10" w:name="最优网格参数参数优化-15-只-etf-结果"/>
    <w:p>
      <w:pPr>
        <w:pStyle w:val="Heading3"/>
      </w:pPr>
      <w:r>
        <w:t xml:space="preserve">1.2 </w:t>
      </w:r>
      <w:r>
        <w:rPr>
          <w:rFonts w:hint="eastAsia"/>
        </w:rPr>
        <w:t xml:space="preserve">最优网格参数（参数优化</w:t>
      </w:r>
      <w:r>
        <w:t xml:space="preserve"> 15 </w:t>
      </w:r>
      <w:r>
        <w:rPr>
          <w:rFonts w:hint="eastAsia"/>
        </w:rPr>
        <w:t xml:space="preserve">只</w:t>
      </w:r>
      <w:r>
        <w:t xml:space="preserve"> ETF </w:t>
      </w:r>
      <w:r>
        <w:rPr>
          <w:rFonts w:hint="eastAsia"/>
        </w:rPr>
        <w:t xml:space="preserve">结果）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最优值（中位数）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最优区间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步长</w:t>
            </w:r>
            <w:r>
              <w:rPr>
                <w:b/>
                <w:bCs/>
              </w:rPr>
              <w:t xml:space="preserve"> (grid_step)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1.5% ~ 5.0%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网格数</w:t>
            </w:r>
            <w:r>
              <w:rPr>
                <w:b/>
                <w:bCs/>
              </w:rPr>
              <w:t xml:space="preserve"> (grid_num)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 ~ 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单格仓位</w:t>
            </w:r>
            <w:r>
              <w:rPr>
                <w:b/>
                <w:bCs/>
              </w:rPr>
              <w:t xml:space="preserve"> (pos/grid)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8% ~ 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网格模式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geometric </w:t>
            </w:r>
            <w:r>
              <w:rPr>
                <w:rFonts w:hint="eastAsia"/>
                <w:b/>
                <w:bCs/>
              </w:rPr>
              <w:t xml:space="preserve">(等比)</w:t>
            </w:r>
          </w:p>
        </w:tc>
        <w:tc>
          <w:tcPr/>
          <w:p>
            <w:pPr>
              <w:pStyle w:val="Compact"/>
            </w:pPr>
            <w:r>
              <w:t xml:space="preserve">geometric </w:t>
            </w:r>
            <w:r>
              <w:rPr>
                <w:rFonts w:hint="eastAsia"/>
              </w:rPr>
              <w:t xml:space="preserve">优于</w:t>
            </w:r>
            <w:r>
              <w:t xml:space="preserve"> arithmetic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解读</w:t>
      </w:r>
      <w:r>
        <w:rPr>
          <w:rFonts w:hint="eastAsia"/>
        </w:rPr>
        <w:t xml:space="preserve">：在震荡上行市场中，较宽的网格间距（3%）配合重仓（15%/格）和较少网格线（10条）表现最佳。这意味着——</w:t>
      </w:r>
      <w:r>
        <w:rPr>
          <w:rFonts w:hint="eastAsia"/>
          <w:b/>
          <w:bCs/>
        </w:rPr>
        <w:t xml:space="preserve">“在关键支撑位重仓出击，而不是密集撒网”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二etf-网格适用性排名"/>
    <w:p>
      <w:pPr>
        <w:pStyle w:val="Heading2"/>
      </w:pPr>
      <w:r>
        <w:rPr>
          <w:rFonts w:hint="eastAsia"/>
        </w:rPr>
        <w:t xml:space="preserve">二、ETF</w:t>
      </w:r>
      <w:r>
        <w:t xml:space="preserve"> </w:t>
      </w:r>
      <w:r>
        <w:rPr>
          <w:rFonts w:hint="eastAsia"/>
        </w:rPr>
        <w:t xml:space="preserve">网格适用性排名</w:t>
      </w:r>
    </w:p>
    <w:bookmarkStart w:id="12" w:name="高适配夏普0.5回撤10-强烈推荐"/>
    <w:p>
      <w:pPr>
        <w:pStyle w:val="Heading3"/>
      </w:pPr>
      <w:r>
        <w:t xml:space="preserve">🟢 </w:t>
      </w:r>
      <w:r>
        <w:rPr>
          <w:rFonts w:hint="eastAsia"/>
        </w:rPr>
        <w:t xml:space="preserve">高适配（夏普&gt;0.5，回撤&lt;10%）—</w:t>
      </w:r>
      <w:r>
        <w:t xml:space="preserve"> </w:t>
      </w:r>
      <w:r>
        <w:rPr>
          <w:rFonts w:hint="eastAsia"/>
        </w:rPr>
        <w:t xml:space="preserve">强烈推荐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1320"/>
        <w:gridCol w:w="132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最优步长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最优年化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夏普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回撤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512800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银行ETF华宝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+28.9%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-1.8%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515880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通信ETF国泰</w:t>
            </w:r>
          </w:p>
        </w:tc>
        <w:tc>
          <w:tcPr/>
          <w:p>
            <w:pPr>
              <w:pStyle w:val="Compact"/>
            </w:pPr>
            <w:r>
              <w:t xml:space="preserve">TMT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+38.3%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-8.0%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561170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碳中和ETF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公用事业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+33.1%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-5.7%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515050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5GETF华夏</w:t>
            </w:r>
          </w:p>
        </w:tc>
        <w:tc>
          <w:tcPr/>
          <w:p>
            <w:pPr>
              <w:pStyle w:val="Compact"/>
            </w:pPr>
            <w:r>
              <w:t xml:space="preserve">TMT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+40.6%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-15.7%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159611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电力ETF广发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公用事业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+29.0%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-4.9%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159996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家电ETF国泰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+28.3%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-6.1%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特征</w:t>
      </w:r>
      <w:r>
        <w:rPr>
          <w:rFonts w:hint="eastAsia"/>
        </w:rPr>
        <w:t xml:space="preserve">：低波动</w:t>
      </w:r>
      <w:r>
        <w:t xml:space="preserve"> + </w:t>
      </w:r>
      <w:r>
        <w:rPr>
          <w:rFonts w:hint="eastAsia"/>
        </w:rPr>
        <w:t xml:space="preserve">区间震荡</w:t>
      </w:r>
      <w:r>
        <w:t xml:space="preserve"> + </w:t>
      </w:r>
      <w:r>
        <w:rPr>
          <w:rFonts w:hint="eastAsia"/>
        </w:rPr>
        <w:t xml:space="preserve">稳定分红预期的行业——银行、公用事业、消费家电。</w:t>
      </w:r>
    </w:p>
    <w:bookmarkEnd w:id="12"/>
    <w:bookmarkStart w:id="13" w:name="中适配夏普-00.5-可选"/>
    <w:p>
      <w:pPr>
        <w:pStyle w:val="Heading3"/>
      </w:pPr>
      <w:r>
        <w:t xml:space="preserve">🟡 </w:t>
      </w:r>
      <w:r>
        <w:rPr>
          <w:rFonts w:hint="eastAsia"/>
        </w:rPr>
        <w:t xml:space="preserve">中适配（夏普</w:t>
      </w:r>
      <w:r>
        <w:t xml:space="preserve"> </w:t>
      </w:r>
      <w:r>
        <w:rPr>
          <w:rFonts w:hint="eastAsia"/>
        </w:rPr>
        <w:t xml:space="preserve">0~0.5）—</w:t>
      </w:r>
      <w:r>
        <w:t xml:space="preserve"> </w:t>
      </w:r>
      <w:r>
        <w:rPr>
          <w:rFonts w:hint="eastAsia"/>
        </w:rPr>
        <w:t xml:space="preserve">可选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夏普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回撤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159875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新能源ETF嘉实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新能源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-12.0%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560860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工业有色ETF万家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-11.5%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159886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机械ETF富国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-8.2%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159857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光伏ETF天弘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新能源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-19.9%</w:t>
            </w:r>
          </w:p>
        </w:tc>
      </w:tr>
    </w:tbl>
    <w:bookmarkEnd w:id="13"/>
    <w:bookmarkStart w:id="14" w:name="低适配夏普0-不推荐网格"/>
    <w:p>
      <w:pPr>
        <w:pStyle w:val="Heading3"/>
      </w:pPr>
      <w:r>
        <w:t xml:space="preserve">🔴 </w:t>
      </w:r>
      <w:r>
        <w:rPr>
          <w:rFonts w:hint="eastAsia"/>
        </w:rPr>
        <w:t xml:space="preserve">低适配（夏普&lt;0）—</w:t>
      </w:r>
      <w:r>
        <w:t xml:space="preserve"> </w:t>
      </w:r>
      <w:r>
        <w:rPr>
          <w:rFonts w:hint="eastAsia"/>
        </w:rPr>
        <w:t xml:space="preserve">不推荐网格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夏普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回撤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512010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医药ETF华夏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-13.1%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159766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旅游ETF富国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-10.5%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512670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国防ETF鹏华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国防军工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-21.8%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512760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半导体ETF国泰</w:t>
            </w:r>
          </w:p>
        </w:tc>
        <w:tc>
          <w:tcPr/>
          <w:p>
            <w:pPr>
              <w:pStyle w:val="Compact"/>
            </w:pPr>
            <w:r>
              <w:t xml:space="preserve">TMT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-16.6%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特征</w:t>
      </w:r>
      <w:r>
        <w:rPr>
          <w:rFonts w:hint="eastAsia"/>
        </w:rPr>
        <w:t xml:space="preserve">：趋势性下跌或单边走势的行业——医药（集采压力）、国防军工（地缘博弈不确定性）、半导体（周期性下行）。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三网格策略的甜区画像"/>
    <w:p>
      <w:pPr>
        <w:pStyle w:val="Heading2"/>
      </w:pPr>
      <w:r>
        <w:rPr>
          <w:rFonts w:hint="eastAsia"/>
        </w:rPr>
        <w:t xml:space="preserve">三、网格策略的”甜区”画像</w:t>
      </w:r>
    </w:p>
    <w:p>
      <w:pPr>
        <w:pStyle w:val="FirstParagraph"/>
      </w:pPr>
      <w:r>
        <w:rPr>
          <w:rFonts w:hint="eastAsia"/>
        </w:rPr>
        <w:t xml:space="preserve">适合网格交易的</w:t>
      </w:r>
      <w:r>
        <w:t xml:space="preserve"> ETF </w:t>
      </w:r>
      <w:r>
        <w:rPr>
          <w:rFonts w:hint="eastAsia"/>
        </w:rPr>
        <w:t xml:space="preserve">具备以下特征：</w:t>
      </w:r>
    </w:p>
    <w:p>
      <w:pPr>
        <w:pStyle w:val="SourceCode"/>
      </w:pP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低波动（年化波动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&lt;25%）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区间震荡（非单边趋势）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有基本面锚定（银行PB、公用事业股息率）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流动性好（日成交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&gt;1亿）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行业周期底部或中部（非极端高/低点）</w:t>
      </w:r>
      <w:r>
        <w:br/>
      </w:r>
      <w:r>
        <w:br/>
      </w:r>
      <w:r>
        <w:rPr>
          <w:rStyle w:val="VerbatimChar"/>
        </w:rPr>
        <w:t xml:space="preserve">❌ </w:t>
      </w:r>
      <w:r>
        <w:rPr>
          <w:rStyle w:val="VerbatimChar"/>
          <w:rFonts w:hint="eastAsia"/>
        </w:rPr>
        <w:t xml:space="preserve">高波动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单边下跌（半导体2024）</w:t>
      </w:r>
      <w:r>
        <w:br/>
      </w:r>
      <w:r>
        <w:rPr>
          <w:rStyle w:val="VerbatimChar"/>
        </w:rPr>
        <w:t xml:space="preserve">❌ </w:t>
      </w:r>
      <w:r>
        <w:rPr>
          <w:rStyle w:val="VerbatimChar"/>
          <w:rFonts w:hint="eastAsia"/>
        </w:rPr>
        <w:t xml:space="preserve">政策驱动剧烈波动（医药集采）</w:t>
      </w:r>
      <w:r>
        <w:br/>
      </w:r>
      <w:r>
        <w:rPr>
          <w:rStyle w:val="VerbatimChar"/>
        </w:rPr>
        <w:t xml:space="preserve">❌ </w:t>
      </w:r>
      <w:r>
        <w:rPr>
          <w:rStyle w:val="VerbatimChar"/>
          <w:rFonts w:hint="eastAsia"/>
        </w:rPr>
        <w:t xml:space="preserve">过度拥挤赛道（光伏产能过剩期）</w:t>
      </w:r>
    </w:p>
    <w:p>
      <w:r>
        <w:pict>
          <v:rect style="width:0;height:1.5pt" o:hralign="center" o:hrstd="t" o:hr="t"/>
        </w:pict>
      </w:r>
    </w:p>
    <w:bookmarkEnd w:id="16"/>
    <w:bookmarkStart w:id="20" w:name="四参数敏感性分析"/>
    <w:p>
      <w:pPr>
        <w:pStyle w:val="Heading2"/>
      </w:pPr>
      <w:r>
        <w:rPr>
          <w:rFonts w:hint="eastAsia"/>
        </w:rPr>
        <w:t xml:space="preserve">四、参数敏感性分析</w:t>
      </w:r>
    </w:p>
    <w:bookmarkStart w:id="17" w:name="步长-grid_step-影响"/>
    <w:p>
      <w:pPr>
        <w:pStyle w:val="Heading3"/>
      </w:pPr>
      <w:r>
        <w:rPr>
          <w:rFonts w:hint="eastAsia"/>
        </w:rPr>
        <w:t xml:space="preserve">步长</w:t>
      </w:r>
      <w:r>
        <w:t xml:space="preserve"> (grid_step) </w:t>
      </w:r>
      <w:r>
        <w:rPr>
          <w:rFonts w:hint="eastAsia"/>
        </w:rPr>
        <w:t xml:space="preserve">影响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平均夏普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平均年化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过于密集，佣金侵蚀利润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+24%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最优（多数ETF）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网格太宽，触发频率低</w:t>
            </w:r>
          </w:p>
        </w:tc>
      </w:tr>
    </w:tbl>
    <w:bookmarkEnd w:id="17"/>
    <w:bookmarkStart w:id="18" w:name="网格数影响"/>
    <w:p>
      <w:pPr>
        <w:pStyle w:val="Heading3"/>
      </w:pPr>
      <w:r>
        <w:rPr>
          <w:rFonts w:hint="eastAsia"/>
        </w:rPr>
        <w:t xml:space="preserve">网格数影响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网格数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平均夏普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平均交易次数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80-150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少量宽网，单笔利润大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150-250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过度交易，佣金吞噬</w:t>
            </w:r>
          </w:p>
        </w:tc>
      </w:tr>
    </w:tbl>
    <w:bookmarkEnd w:id="18"/>
    <w:bookmarkStart w:id="19" w:name="单格仓位影响"/>
    <w:p>
      <w:pPr>
        <w:pStyle w:val="Heading3"/>
      </w:pPr>
      <w:r>
        <w:rPr>
          <w:rFonts w:hint="eastAsia"/>
        </w:rPr>
        <w:t xml:space="preserve">单格仓位影响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仓位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平均夏普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资金利用率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30-60%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太保守，资金闲置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60-85%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80-95%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最优（高资金效率）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3" w:name="五实操建议"/>
    <w:p>
      <w:pPr>
        <w:pStyle w:val="Heading2"/>
      </w:pPr>
      <w:r>
        <w:rPr>
          <w:rFonts w:hint="eastAsia"/>
        </w:rPr>
        <w:t xml:space="preserve">五、实操建议</w:t>
      </w:r>
    </w:p>
    <w:bookmarkStart w:id="21" w:name="网格策略执行方案"/>
    <w:p>
      <w:pPr>
        <w:pStyle w:val="Heading3"/>
      </w:pPr>
      <w:r>
        <w:rPr>
          <w:rFonts w:hint="eastAsia"/>
        </w:rPr>
        <w:t xml:space="preserve">网格策略执行方案</w:t>
      </w:r>
    </w:p>
    <w:p>
      <w:pPr>
        <w:pStyle w:val="SourceCode"/>
      </w:pPr>
      <w:r>
        <w:rPr>
          <w:rStyle w:val="VerbatimChar"/>
          <w:rFonts w:hint="eastAsia"/>
        </w:rPr>
        <w:t xml:space="preserve">标的：512800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银行ETF华宝</w:t>
      </w:r>
      <w:r>
        <w:br/>
      </w:r>
      <w:r>
        <w:rPr>
          <w:rStyle w:val="VerbatimChar"/>
          <w:rFonts w:hint="eastAsia"/>
        </w:rPr>
        <w:t xml:space="preserve">理由：夏普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1.77，回撤仅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-1.8%，银行股区间震荡特征明显</w:t>
      </w:r>
      <w:r>
        <w:br/>
      </w:r>
      <w:r>
        <w:br/>
      </w:r>
      <w:r>
        <w:rPr>
          <w:rStyle w:val="VerbatimChar"/>
          <w:rFonts w:hint="eastAsia"/>
        </w:rPr>
        <w:t xml:space="preserve">参数：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价格区间：基于当前价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±12%（历史波动率支撑）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步长：2.5%（10条网格线覆盖区间）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每格仓位：10%（总仓位上限80%，留20%现金备用）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止损：跌破区间下限</w:t>
      </w:r>
      <w:r>
        <w:rPr>
          <w:rStyle w:val="VerbatimChar"/>
        </w:rPr>
        <w:t xml:space="preserve"> 10% </w:t>
      </w:r>
      <w:r>
        <w:rPr>
          <w:rStyle w:val="VerbatimChar"/>
          <w:rFonts w:hint="eastAsia"/>
        </w:rPr>
        <w:t xml:space="preserve">清仓</w:t>
      </w:r>
      <w:r>
        <w:br/>
      </w:r>
      <w:r>
        <w:br/>
      </w:r>
      <w:r>
        <w:rPr>
          <w:rStyle w:val="VerbatimChar"/>
          <w:rFonts w:hint="eastAsia"/>
        </w:rPr>
        <w:t xml:space="preserve">预期：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年化收益：15-25%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最大回撤：&lt;5%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月交易频次：8-15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次</w:t>
      </w:r>
    </w:p>
    <w:bookmarkEnd w:id="21"/>
    <w:bookmarkStart w:id="22" w:name="第二梯队"/>
    <w:p>
      <w:pPr>
        <w:pStyle w:val="Heading3"/>
      </w:pPr>
      <w:r>
        <w:rPr>
          <w:rFonts w:hint="eastAsia"/>
        </w:rPr>
        <w:t xml:space="preserve">第二梯队</w:t>
      </w:r>
    </w:p>
    <w:p>
      <w:pPr>
        <w:pStyle w:val="SourceCode"/>
      </w:pPr>
      <w:r>
        <w:rPr>
          <w:rStyle w:val="VerbatimChar"/>
        </w:rPr>
        <w:t xml:space="preserve">516960 </w:t>
      </w:r>
      <w:r>
        <w:rPr>
          <w:rStyle w:val="VerbatimChar"/>
          <w:rFonts w:hint="eastAsia"/>
        </w:rPr>
        <w:t xml:space="preserve">工业母机ETF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夏普0.56，回撤-3.3%，制造升级长逻辑</w:t>
      </w:r>
      <w:r>
        <w:br/>
      </w:r>
      <w:r>
        <w:rPr>
          <w:rStyle w:val="VerbatimChar"/>
        </w:rPr>
        <w:t xml:space="preserve">159996 </w:t>
      </w:r>
      <w:r>
        <w:rPr>
          <w:rStyle w:val="VerbatimChar"/>
          <w:rFonts w:hint="eastAsia"/>
        </w:rPr>
        <w:t xml:space="preserve">家电ETF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夏普0.64，回撤-6.1%，消费复苏+出海</w:t>
      </w:r>
      <w:r>
        <w:br/>
      </w:r>
      <w:r>
        <w:rPr>
          <w:rStyle w:val="VerbatimChar"/>
        </w:rPr>
        <w:t xml:space="preserve">159886 </w:t>
      </w:r>
      <w:r>
        <w:rPr>
          <w:rStyle w:val="VerbatimChar"/>
          <w:rFonts w:hint="eastAsia"/>
        </w:rPr>
        <w:t xml:space="preserve">机械ETF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夏普0.57，回撤-3.3%，设备更新周期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六系统局限-后续改进"/>
    <w:p>
      <w:pPr>
        <w:pStyle w:val="Heading2"/>
      </w:pPr>
      <w:r>
        <w:rPr>
          <w:rFonts w:hint="eastAsia"/>
        </w:rPr>
        <w:t xml:space="preserve">六、系统局限</w:t>
      </w:r>
      <w:r>
        <w:t xml:space="preserve"> &amp; </w:t>
      </w:r>
      <w:r>
        <w:rPr>
          <w:rFonts w:hint="eastAsia"/>
        </w:rPr>
        <w:t xml:space="preserve">后续改进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收盘价→OHLC</w:t>
            </w:r>
            <w:r>
              <w:t xml:space="preserve"> </w:t>
            </w:r>
            <w:r>
              <w:rPr>
                <w:rFonts w:hint="eastAsia"/>
              </w:rPr>
              <w:t xml:space="preserve">估算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网格触发次数偏保守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接入真实</w:t>
            </w:r>
            <w:r>
              <w:t xml:space="preserve"> OHLC </w:t>
            </w: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固定网格线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价格偏离后网格失效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动态网格重新居中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无趋势过滤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单边市中持续亏损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加入</w:t>
            </w:r>
            <w:r>
              <w:t xml:space="preserve"> MA </w:t>
            </w:r>
            <w:r>
              <w:rPr>
                <w:rFonts w:hint="eastAsia"/>
              </w:rPr>
              <w:t xml:space="preserve">闸门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市场状态变化后参数失效</w:t>
            </w:r>
          </w:p>
        </w:tc>
        <w:tc>
          <w:tcPr/>
          <w:p>
            <w:pPr>
              <w:pStyle w:val="Compact"/>
            </w:pPr>
            <w:r>
              <w:t xml:space="preserve">Walk-Forward </w:t>
            </w:r>
            <w:r>
              <w:rPr>
                <w:rFonts w:hint="eastAsia"/>
              </w:rPr>
              <w:t xml:space="preserve">滚动优化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单标的独立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未考虑组合分散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ETF </w:t>
            </w:r>
            <w:r>
              <w:rPr>
                <w:rFonts w:hint="eastAsia"/>
              </w:rPr>
              <w:t xml:space="preserve">组合网格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附录数据与复现"/>
    <w:p>
      <w:pPr>
        <w:pStyle w:val="Heading2"/>
      </w:pPr>
      <w:r>
        <w:rPr>
          <w:rFonts w:hint="eastAsia"/>
        </w:rPr>
        <w:t xml:space="preserve">附录：数据与复现</w:t>
      </w:r>
    </w:p>
    <w:p>
      <w:pPr>
        <w:pStyle w:val="SourceCode"/>
      </w:pPr>
      <w:r>
        <w:rPr>
          <w:rStyle w:val="CommentTok"/>
        </w:rPr>
        <w:t xml:space="preserve"># 复现全部结果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grid-backtest</w:t>
      </w:r>
      <w:r>
        <w:br/>
      </w:r>
      <w:r>
        <w:br/>
      </w:r>
      <w:r>
        <w:rPr>
          <w:rStyle w:val="CommentTok"/>
        </w:rPr>
        <w:t xml:space="preserve"># 1. 批量回测（45 ETF 预设模板）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run_batch_backtest.py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moderate</w:t>
      </w:r>
      <w:r>
        <w:br/>
      </w:r>
      <w:r>
        <w:br/>
      </w:r>
      <w:r>
        <w:rPr>
          <w:rStyle w:val="CommentTok"/>
        </w:rPr>
        <w:t xml:space="preserve"># 2. 参数优化（15 ETF 代表）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run_batch_backtest.py </w:t>
      </w:r>
      <w:r>
        <w:rPr>
          <w:rStyle w:val="AttributeTok"/>
        </w:rPr>
        <w:t xml:space="preserve">--optimize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--space</w:t>
      </w:r>
      <w:r>
        <w:rPr>
          <w:rStyle w:val="NormalTok"/>
        </w:rPr>
        <w:t xml:space="preserve"> standard</w:t>
      </w:r>
      <w:r>
        <w:br/>
      </w:r>
      <w:r>
        <w:br/>
      </w:r>
      <w:r>
        <w:rPr>
          <w:rStyle w:val="CommentTok"/>
        </w:rPr>
        <w:t xml:space="preserve"># 3. 查看报告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output/</w:t>
      </w:r>
      <w:r>
        <w:br/>
      </w:r>
      <w:r>
        <w:rPr>
          <w:rStyle w:val="CommentTok"/>
        </w:rPr>
        <w:t xml:space="preserve">#   grid_results_summary.xlsx    ← Excel 汇总</w:t>
      </w:r>
      <w:r>
        <w:br/>
      </w:r>
      <w:r>
        <w:rPr>
          <w:rStyle w:val="CommentTok"/>
        </w:rPr>
        <w:t xml:space="preserve">#   grid_multi_comparison.png     ← 多标的对比图</w:t>
      </w:r>
      <w:r>
        <w:br/>
      </w:r>
      <w:r>
        <w:rPr>
          <w:rStyle w:val="CommentTok"/>
        </w:rPr>
        <w:t xml:space="preserve">#   grid_report_512800.html       ← 银行ETF HTML报告</w:t>
      </w:r>
      <w:r>
        <w:br/>
      </w:r>
      <w:r>
        <w:rPr>
          <w:rStyle w:val="CommentTok"/>
        </w:rPr>
        <w:t xml:space="preserve">#   optimization_512800.md        ← 银行ETF 优化报告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🤖 </w:t>
      </w:r>
      <w:r>
        <w:rPr>
          <w:rFonts w:hint="eastAsia"/>
        </w:rPr>
        <w:t xml:space="preserve">本报告由</w:t>
      </w:r>
      <w:r>
        <w:t xml:space="preserve"> grid-backtest </w:t>
      </w:r>
      <w:r>
        <w:rPr>
          <w:rFonts w:hint="eastAsia"/>
        </w:rPr>
        <w:t xml:space="preserve">引擎自动生成</w:t>
      </w:r>
      <w:r>
        <w:t xml:space="preserve"> | </w:t>
      </w:r>
      <w:r>
        <w:rPr>
          <w:rFonts w:hint="eastAsia"/>
        </w:rPr>
        <w:t xml:space="preserve">数据源：efinance/akshare</w:t>
      </w:r>
      <w:r>
        <w:t xml:space="preserve"> </w:t>
      </w:r>
      <w:r>
        <w:rPr>
          <w:rFonts w:hint="eastAsia"/>
        </w:rPr>
        <w:t xml:space="preserve">缓存</w:t>
      </w:r>
      <w:r>
        <w:t xml:space="preserve"> </w:t>
      </w:r>
      <w:r>
        <w:t xml:space="preserve">⚠️ </w:t>
      </w:r>
      <w:r>
        <w:rPr>
          <w:rFonts w:hint="eastAsia"/>
        </w:rPr>
        <w:t xml:space="preserve">回测结果不代表未来表现</w:t>
      </w:r>
      <w:r>
        <w:t xml:space="preserve"> | </w:t>
      </w:r>
      <w:r>
        <w:rPr>
          <w:rFonts w:hint="eastAsia"/>
        </w:rPr>
        <w:t xml:space="preserve">数据为收盘价估算</w:t>
      </w:r>
      <w:r>
        <w:t xml:space="preserve"> </w:t>
      </w:r>
      <w:r>
        <w:rPr>
          <w:rFonts w:hint="eastAsia"/>
        </w:rPr>
        <w:t xml:space="preserve">OHLC，存在偏差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2026-06-12T05:02:39Z</dcterms:created>
  <dcterms:modified xsi:type="dcterms:W3CDTF">2026-06-12T05:02:39Z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