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zh6bl4r29ts" w:id="0"/>
      <w:bookmarkEnd w:id="0"/>
      <w:r w:rsidDel="00000000" w:rsidR="00000000" w:rsidRPr="00000000">
        <w:rPr>
          <w:rtl w:val="0"/>
        </w:rPr>
        <w:t xml:space="preserve">Route guard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mjautxj4p63e" w:id="1"/>
      <w:bookmarkEnd w:id="1"/>
      <w:r w:rsidDel="00000000" w:rsidR="00000000" w:rsidRPr="00000000">
        <w:rPr>
          <w:sz w:val="32"/>
          <w:szCs w:val="32"/>
          <w:rtl w:val="0"/>
        </w:rPr>
        <w:t xml:space="preserve">Full navigation resolution flow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Navigation triggered.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beforeRouteLeave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guards in deactivated components.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global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beforeEach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guards.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beforeRouteUpdate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guards in reused components.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beforeEnter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route configs.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Resolve async route components.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beforeRouteEnter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activated components.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global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beforeResolve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guards.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Navigation is confirmed.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global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afterEach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hooks.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DOM updates triggered.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callbacks passed to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4"/>
          <w:szCs w:val="24"/>
          <w:shd w:fill="cccccc" w:val="clear"/>
          <w:rtl w:val="0"/>
        </w:rPr>
        <w:t xml:space="preserve">beforeRouteEnter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guards with instantiated instances.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