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A3A5A"/>
          <w:sz w:val="48"/>
          <w:szCs w:val="48"/>
        </w:rPr>
        <w:t xml:space="preserve">CARRY TRADE FRAMEWORK</w:t>
      </w:r>
    </w:p>
    <w:p>
      <w:pPr>
        <w:spacing w:before="0" w:after="80"/>
        <w:jc w:val="center"/>
      </w:pPr>
      <w:r>
        <w:rPr>
          <w:rFonts w:ascii="Arial" w:cs="Arial" w:eastAsia="Arial" w:hAnsi="Arial"/>
          <w:color w:val="444444"/>
          <w:sz w:val="24"/>
          <w:szCs w:val="24"/>
        </w:rPr>
        <w:t xml:space="preserve">TPO Institutional Flow × Monetary Policy Alignment</w:t>
      </w:r>
    </w:p>
    <w:p>
      <w:pPr>
        <w:spacing w:before="0" w:after="400"/>
        <w:jc w:val="center"/>
      </w:pPr>
      <w:r>
        <w:rPr>
          <w:rFonts w:ascii="Arial" w:cs="Arial" w:eastAsia="Arial" w:hAnsi="Arial"/>
          <w:color w:val="888888"/>
          <w:sz w:val="20"/>
          <w:szCs w:val="20"/>
        </w:rPr>
        <w:t xml:space="preserve">Market Regime Scanner — Personal Trading Notes</w:t>
      </w:r>
    </w:p>
    <w:p>
      <w:pPr>
        <w:pStyle w:val="Heading1"/>
        <w:pBdr>
          <w:bottom w:val="single" w:color="00AACC" w:sz="6" w:space="1"/>
        </w:pBdr>
        <w:spacing w:before="360" w:after="160"/>
      </w:pPr>
      <w:r>
        <w:rPr>
          <w:rFonts w:ascii="Arial" w:cs="Arial" w:eastAsia="Arial" w:hAnsi="Arial"/>
          <w:b/>
          <w:bCs/>
          <w:color w:val="1A3A5A"/>
          <w:sz w:val="32"/>
          <w:szCs w:val="32"/>
        </w:rPr>
        <w:t xml:space="preserve">1. NGUYÊN LÝ CỐT LÕI</w:t>
      </w:r>
    </w:p>
    <w:p>
      <w:pPr>
        <w:spacing w:before="120" w:after="120"/>
      </w:pPr>
      <w:r>
        <w:t xml:space="preserve"/>
      </w:r>
    </w:p>
    <w:p>
      <w:pPr>
        <w:pStyle w:val="Heading2"/>
        <w:spacing w:before="280" w:after="120"/>
      </w:pPr>
      <w:r>
        <w:rPr>
          <w:rFonts w:ascii="Arial" w:cs="Arial" w:eastAsia="Arial" w:hAnsi="Arial"/>
          <w:b/>
          <w:bCs/>
          <w:color w:val="1A5A3A"/>
          <w:sz w:val="26"/>
          <w:szCs w:val="26"/>
        </w:rPr>
        <w:t xml:space="preserve">1.1 Tại sao Carry Trade align với TPO?</w:t>
      </w:r>
    </w:p>
    <w:p>
      <w:pPr>
        <w:spacing w:before="80" w:after="80"/>
      </w:pPr>
      <w:r>
        <w:rPr>
          <w:rFonts w:ascii="Arial" w:cs="Arial" w:eastAsia="Arial" w:hAnsi="Arial"/>
          <w:sz w:val="22"/>
          <w:szCs w:val="22"/>
        </w:rPr>
        <w:t xml:space="preserve">Carry trade không phải là kỹ thuật riêng biệt — nó là biểu hiện của dòng tiền tổ chức đang deploy theo interest rate differential. Khi TPO system detect được accumulation, thực chất là đang đọc dấu vết của tổ chức đang gom currency có lãi suất cao.</w:t>
      </w:r>
    </w:p>
    <w:p>
      <w:pPr>
        <w:spacing w:before="120" w:after="120"/>
      </w:pPr>
      <w:r>
        <w:t xml:space="preserve"/>
      </w:r>
    </w:p>
    <w:p>
      <w:pPr>
        <w:spacing w:before="40" w:after="40"/>
        <w:ind w:left="720"/>
      </w:pPr>
      <w:r>
        <w:rPr>
          <w:rFonts w:ascii="Courier New" w:cs="Courier New" w:eastAsia="Courier New" w:hAnsi="Courier New"/>
          <w:color w:val="00AA44"/>
          <w:sz w:val="20"/>
          <w:szCs w:val="20"/>
        </w:rPr>
        <w:t xml:space="preserve">Monetary Policy → Institutional Flow → TPO Accumulation → Signal</w:t>
      </w:r>
    </w:p>
    <w:p>
      <w:pPr>
        <w:spacing w:before="40" w:after="40"/>
        <w:ind w:left="720"/>
      </w:pPr>
      <w:r>
        <w:rPr>
          <w:rFonts w:ascii="Courier New" w:cs="Courier New" w:eastAsia="Courier New" w:hAnsi="Courier New"/>
          <w:color w:val="00AA44"/>
          <w:sz w:val="20"/>
          <w:szCs w:val="20"/>
        </w:rPr>
        <w:t xml:space="preserve">System không đoán policy — chỉ đọc dấu vết tổ chức để lại</w:t>
      </w:r>
    </w:p>
    <w:p>
      <w:pPr>
        <w:spacing w:before="120" w:after="120"/>
      </w:pPr>
      <w:r>
        <w:t xml:space="preserve"/>
      </w:r>
    </w:p>
    <w:p>
      <w:pPr>
        <w:pStyle w:val="Heading2"/>
        <w:spacing w:before="280" w:after="120"/>
      </w:pPr>
      <w:r>
        <w:rPr>
          <w:rFonts w:ascii="Arial" w:cs="Arial" w:eastAsia="Arial" w:hAnsi="Arial"/>
          <w:b/>
          <w:bCs/>
          <w:color w:val="1A5A3A"/>
          <w:sz w:val="26"/>
          <w:szCs w:val="26"/>
        </w:rPr>
        <w:t xml:space="preserve">1.2 Hai nguồn lợi nhuận song song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800"/>
        <w:gridCol w:w="2360"/>
      </w:tblGrid>
      <w:tr>
        <w:trPr>
          <w:tblHeader/>
        </w:trPr>
        <w:tc>
          <w:tcPr>
            <w:tcW w:type="dxa" w:w="2200"/>
            <w:tcBorders>
              <w:top w:val="single" w:color="1A3A5A" w:sz="1"/>
              <w:left w:val="single" w:color="1A3A5A" w:sz="1"/>
              <w:bottom w:val="single" w:color="1A3A5A" w:sz="1"/>
              <w:right w:val="single" w:color="1A3A5A" w:sz="1"/>
            </w:tcBorders>
            <w:shd w:fill="1A3A5A" w:val="clear"/>
            <w:tcMar>
              <w:top w:type="dxa" w:w="100"/>
              <w:left w:type="dxa" w:w="140"/>
              <w:bottom w:type="dxa" w:w="100"/>
              <w:right w:type="dxa" w:w="140"/>
            </w:tcMar>
          </w:tcPr>
          <w:p>
            <w:r>
              <w:rPr>
                <w:rFonts w:ascii="Arial" w:cs="Arial" w:eastAsia="Arial" w:hAnsi="Arial"/>
                <w:b/>
                <w:bCs/>
                <w:color w:val="FFFFFF"/>
                <w:sz w:val="20"/>
                <w:szCs w:val="20"/>
              </w:rPr>
              <w:t xml:space="preserve">Nguồn</w:t>
            </w:r>
          </w:p>
        </w:tc>
        <w:tc>
          <w:tcPr>
            <w:tcW w:type="dxa" w:w="3000"/>
            <w:tcBorders>
              <w:top w:val="single" w:color="1A3A5A" w:sz="1"/>
              <w:left w:val="single" w:color="1A3A5A" w:sz="1"/>
              <w:bottom w:val="single" w:color="1A3A5A" w:sz="1"/>
              <w:right w:val="single" w:color="1A3A5A" w:sz="1"/>
            </w:tcBorders>
            <w:shd w:fill="1A3A5A" w:val="clear"/>
            <w:tcMar>
              <w:top w:type="dxa" w:w="100"/>
              <w:left w:type="dxa" w:w="140"/>
              <w:bottom w:type="dxa" w:w="100"/>
              <w:right w:type="dxa" w:w="140"/>
            </w:tcMar>
          </w:tcPr>
          <w:p>
            <w:r>
              <w:rPr>
                <w:rFonts w:ascii="Arial" w:cs="Arial" w:eastAsia="Arial" w:hAnsi="Arial"/>
                <w:b/>
                <w:bCs/>
                <w:color w:val="FFFFFF"/>
                <w:sz w:val="20"/>
                <w:szCs w:val="20"/>
              </w:rPr>
              <w:t xml:space="preserve">Cơ chế</w:t>
            </w:r>
          </w:p>
        </w:tc>
        <w:tc>
          <w:tcPr>
            <w:tcW w:type="dxa" w:w="1800"/>
            <w:tcBorders>
              <w:top w:val="single" w:color="1A3A5A" w:sz="1"/>
              <w:left w:val="single" w:color="1A3A5A" w:sz="1"/>
              <w:bottom w:val="single" w:color="1A3A5A" w:sz="1"/>
              <w:right w:val="single" w:color="1A3A5A" w:sz="1"/>
            </w:tcBorders>
            <w:shd w:fill="1A3A5A" w:val="clear"/>
            <w:tcMar>
              <w:top w:type="dxa" w:w="100"/>
              <w:left w:type="dxa" w:w="140"/>
              <w:bottom w:type="dxa" w:w="100"/>
              <w:right w:type="dxa" w:w="140"/>
            </w:tcMar>
          </w:tcPr>
          <w:p>
            <w:r>
              <w:rPr>
                <w:rFonts w:ascii="Arial" w:cs="Arial" w:eastAsia="Arial" w:hAnsi="Arial"/>
                <w:b/>
                <w:bCs/>
                <w:color w:val="FFFFFF"/>
                <w:sz w:val="20"/>
                <w:szCs w:val="20"/>
              </w:rPr>
              <w:t xml:space="preserve">Timing</w:t>
            </w:r>
          </w:p>
        </w:tc>
        <w:tc>
          <w:tcPr>
            <w:tcW w:type="dxa" w:w="2360"/>
            <w:tcBorders>
              <w:top w:val="single" w:color="1A3A5A" w:sz="1"/>
              <w:left w:val="single" w:color="1A3A5A" w:sz="1"/>
              <w:bottom w:val="single" w:color="1A3A5A" w:sz="1"/>
              <w:right w:val="single" w:color="1A3A5A" w:sz="1"/>
            </w:tcBorders>
            <w:shd w:fill="1A3A5A" w:val="clear"/>
            <w:tcMar>
              <w:top w:type="dxa" w:w="100"/>
              <w:left w:type="dxa" w:w="140"/>
              <w:bottom w:type="dxa" w:w="100"/>
              <w:right w:type="dxa" w:w="140"/>
            </w:tcMar>
          </w:tcPr>
          <w:p>
            <w:r>
              <w:rPr>
                <w:rFonts w:ascii="Arial" w:cs="Arial" w:eastAsia="Arial" w:hAnsi="Arial"/>
                <w:b/>
                <w:bCs/>
                <w:color w:val="FFFFFF"/>
                <w:sz w:val="20"/>
                <w:szCs w:val="20"/>
              </w:rPr>
              <w:t xml:space="preserve">Certainty</w:t>
            </w:r>
          </w:p>
        </w:tc>
      </w:tr>
      <w:tr>
        <w:tc>
          <w:tcPr>
            <w:tcW w:type="dxa" w:w="22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Price Appreciation</w:t>
            </w:r>
          </w:p>
        </w:tc>
        <w:tc>
          <w:tcPr>
            <w:tcW w:type="dxa" w:w="30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Giá di chuyển theo Monthly/Weekly bias</w:t>
            </w:r>
          </w:p>
        </w:tc>
        <w:tc>
          <w:tcPr>
            <w:tcW w:type="dxa" w:w="18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Tuần → Tháng</w:t>
            </w:r>
          </w:p>
        </w:tc>
        <w:tc>
          <w:tcPr>
            <w:tcW w:type="dxa" w:w="236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Conditional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Carry (Swap)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Interest rate differential chảy vào mỗi ngày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Hàng ngày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r>
    </w:tbl>
    <w:p>
      <w:pPr>
        <w:spacing w:before="120" w:after="120"/>
      </w:pPr>
      <w:r>
        <w:t xml:space="preserve"/>
      </w:r>
    </w:p>
    <w:p>
      <w:pPr>
        <w:pStyle w:val="Heading1"/>
        <w:pBdr>
          <w:bottom w:val="single" w:color="00AACC" w:sz="6" w:space="1"/>
        </w:pBdr>
        <w:spacing w:before="360" w:after="160"/>
      </w:pPr>
      <w:r>
        <w:rPr>
          <w:rFonts w:ascii="Arial" w:cs="Arial" w:eastAsia="Arial" w:hAnsi="Arial"/>
          <w:b/>
          <w:bCs/>
          <w:color w:val="1A3A5A"/>
          <w:sz w:val="32"/>
          <w:szCs w:val="32"/>
        </w:rPr>
        <w:t xml:space="preserve">2. CURRENCY STRENGTH MATRIX</w:t>
      </w:r>
    </w:p>
    <w:p>
      <w:pPr>
        <w:spacing w:before="120" w:after="120"/>
      </w:pPr>
      <w:r>
        <w:t xml:space="preserve"/>
      </w:r>
    </w:p>
    <w:p>
      <w:pPr>
        <w:pStyle w:val="Heading2"/>
        <w:spacing w:before="280" w:after="120"/>
      </w:pPr>
      <w:r>
        <w:rPr>
          <w:rFonts w:ascii="Arial" w:cs="Arial" w:eastAsia="Arial" w:hAnsi="Arial"/>
          <w:b/>
          <w:bCs/>
          <w:color w:val="1A5A3A"/>
          <w:sz w:val="26"/>
          <w:szCs w:val="26"/>
        </w:rPr>
        <w:t xml:space="preserve">2.1 Cách đọc currency strength từ cross-market scan</w:t>
      </w:r>
    </w:p>
    <w:p>
      <w:pPr>
        <w:spacing w:before="80" w:after="80"/>
      </w:pPr>
      <w:r>
        <w:rPr>
          <w:rFonts w:ascii="Arial" w:cs="Arial" w:eastAsia="Arial" w:hAnsi="Arial"/>
          <w:sz w:val="22"/>
          <w:szCs w:val="22"/>
        </w:rPr>
        <w:t xml:space="preserve">Scan toàn bộ FX pairs tự động cho thấy currency nào đang mạnh/yếu mà không cần đọc tin tức:</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200"/>
        <w:gridCol w:w="3160"/>
      </w:tblGrid>
      <w:tr>
        <w:trPr>
          <w:tblHeader/>
        </w:trPr>
        <w:tc>
          <w:tcPr>
            <w:tcW w:type="dxa" w:w="1500"/>
            <w:tcBorders>
              <w:top w:val="single" w:color="1A3A5A" w:sz="1"/>
              <w:left w:val="single" w:color="1A3A5A" w:sz="1"/>
              <w:bottom w:val="single" w:color="1A3A5A" w:sz="1"/>
              <w:right w:val="single" w:color="1A3A5A" w:sz="1"/>
            </w:tcBorders>
            <w:shd w:fill="1A3A5A" w:val="clear"/>
            <w:tcMar>
              <w:top w:type="dxa" w:w="100"/>
              <w:left w:type="dxa" w:w="140"/>
              <w:bottom w:type="dxa" w:w="100"/>
              <w:right w:type="dxa" w:w="140"/>
            </w:tcMar>
          </w:tcPr>
          <w:p>
            <w:r>
              <w:rPr>
                <w:rFonts w:ascii="Arial" w:cs="Arial" w:eastAsia="Arial" w:hAnsi="Arial"/>
                <w:b/>
                <w:bCs/>
                <w:color w:val="FFFFFF"/>
                <w:sz w:val="20"/>
                <w:szCs w:val="20"/>
              </w:rPr>
              <w:t xml:space="preserve">Currency</w:t>
            </w:r>
          </w:p>
        </w:tc>
        <w:tc>
          <w:tcPr>
            <w:tcW w:type="dxa" w:w="3500"/>
            <w:tcBorders>
              <w:top w:val="single" w:color="1A3A5A" w:sz="1"/>
              <w:left w:val="single" w:color="1A3A5A" w:sz="1"/>
              <w:bottom w:val="single" w:color="1A3A5A" w:sz="1"/>
              <w:right w:val="single" w:color="1A3A5A" w:sz="1"/>
            </w:tcBorders>
            <w:shd w:fill="1A3A5A" w:val="clear"/>
            <w:tcMar>
              <w:top w:type="dxa" w:w="100"/>
              <w:left w:type="dxa" w:w="140"/>
              <w:bottom w:type="dxa" w:w="100"/>
              <w:right w:type="dxa" w:w="140"/>
            </w:tcMar>
          </w:tcPr>
          <w:p>
            <w:r>
              <w:rPr>
                <w:rFonts w:ascii="Arial" w:cs="Arial" w:eastAsia="Arial" w:hAnsi="Arial"/>
                <w:b/>
                <w:bCs/>
                <w:color w:val="FFFFFF"/>
                <w:sz w:val="20"/>
                <w:szCs w:val="20"/>
              </w:rPr>
              <w:t xml:space="preserve">Signal Cross-Market</w:t>
            </w:r>
          </w:p>
        </w:tc>
        <w:tc>
          <w:tcPr>
            <w:tcW w:type="dxa" w:w="1200"/>
            <w:tcBorders>
              <w:top w:val="single" w:color="1A3A5A" w:sz="1"/>
              <w:left w:val="single" w:color="1A3A5A" w:sz="1"/>
              <w:bottom w:val="single" w:color="1A3A5A" w:sz="1"/>
              <w:right w:val="single" w:color="1A3A5A" w:sz="1"/>
            </w:tcBorders>
            <w:shd w:fill="1A3A5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160"/>
            <w:tcBorders>
              <w:top w:val="single" w:color="1A3A5A" w:sz="1"/>
              <w:left w:val="single" w:color="1A3A5A" w:sz="1"/>
              <w:bottom w:val="single" w:color="1A3A5A" w:sz="1"/>
              <w:right w:val="single" w:color="1A3A5A" w:sz="1"/>
            </w:tcBorders>
            <w:shd w:fill="1A3A5A" w:val="clear"/>
            <w:tcMar>
              <w:top w:type="dxa" w:w="100"/>
              <w:left w:type="dxa" w:w="140"/>
              <w:bottom w:type="dxa" w:w="100"/>
              <w:right w:type="dxa" w:w="140"/>
            </w:tcMar>
          </w:tcPr>
          <w:p>
            <w:r>
              <w:rPr>
                <w:rFonts w:ascii="Arial" w:cs="Arial" w:eastAsia="Arial" w:hAnsi="Arial"/>
                <w:b/>
                <w:bCs/>
                <w:color w:val="FFFFFF"/>
                <w:sz w:val="20"/>
                <w:szCs w:val="20"/>
              </w:rPr>
              <w:t xml:space="preserve">Rate (2026)</w:t>
            </w:r>
          </w:p>
        </w:tc>
      </w:tr>
      <w:tr>
        <w:tc>
          <w:tcPr>
            <w:tcW w:type="dxa" w:w="15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AUD</w:t>
            </w:r>
          </w:p>
        </w:tc>
        <w:tc>
          <w:tcPr>
            <w:tcW w:type="dxa" w:w="35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AUDJPY BULLISH, AUDCAD BULLISH, EURAUD BEARISH</w:t>
            </w:r>
          </w:p>
        </w:tc>
        <w:tc>
          <w:tcPr>
            <w:tcW w:type="dxa" w:w="12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STRONG</w:t>
            </w:r>
          </w:p>
        </w:tc>
        <w:tc>
          <w:tcPr>
            <w:tcW w:type="dxa" w:w="316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3.85% (RBA vừa tăng)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EUR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EURAUD BEARISH, EURCHF BEARISH, EURJPY BEARISH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WEAK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2.65% (ECB cắt)</w:t>
            </w:r>
          </w:p>
        </w:tc>
      </w:tr>
      <w:tr>
        <w:tc>
          <w:tcPr>
            <w:tcW w:type="dxa" w:w="15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JPY</w:t>
            </w:r>
          </w:p>
        </w:tc>
        <w:tc>
          <w:tcPr>
            <w:tcW w:type="dxa" w:w="35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AUDJPY BEARISH, EURJPY BEARISH, GBPJPY BEARISH</w:t>
            </w:r>
          </w:p>
        </w:tc>
        <w:tc>
          <w:tcPr>
            <w:tcW w:type="dxa" w:w="12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WEAK</w:t>
            </w:r>
          </w:p>
        </w:tc>
        <w:tc>
          <w:tcPr>
            <w:tcW w:type="dxa" w:w="316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0.75% (BOJ giữ thấp)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AUDCAD BULLISH, USDCAD neutral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NEUTRAL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2.75%</w:t>
            </w:r>
          </w:p>
        </w:tc>
      </w:tr>
    </w:tbl>
    <w:p>
      <w:pPr>
        <w:spacing w:before="120" w:after="120"/>
      </w:pPr>
      <w:r>
        <w:t xml:space="preserve"/>
      </w:r>
    </w:p>
    <w:p>
      <w:pPr>
        <w:spacing w:before="80" w:after="80"/>
      </w:pPr>
      <w:r>
        <w:rPr>
          <w:rFonts w:ascii="Arial" w:cs="Arial" w:eastAsia="Arial" w:hAnsi="Arial"/>
          <w:b/>
          <w:bCs/>
          <w:sz w:val="22"/>
          <w:szCs w:val="22"/>
        </w:rPr>
        <w:t xml:space="preserve">Key insight: Khi AUD xuất hiện mạnh trong đa số cross pairs, đó là confirmation macro đang ủng hộ carry long AUD.</w:t>
      </w:r>
    </w:p>
    <w:p>
      <w:pPr>
        <w:spacing w:before="120" w:after="120"/>
      </w:pPr>
      <w:r>
        <w:t xml:space="preserve"/>
      </w:r>
    </w:p>
    <w:p>
      <w:pPr>
        <w:pStyle w:val="Heading1"/>
        <w:pBdr>
          <w:bottom w:val="single" w:color="00AACC" w:sz="6" w:space="1"/>
        </w:pBdr>
        <w:spacing w:before="360" w:after="160"/>
      </w:pPr>
      <w:r>
        <w:rPr>
          <w:rFonts w:ascii="Arial" w:cs="Arial" w:eastAsia="Arial" w:hAnsi="Arial"/>
          <w:b/>
          <w:bCs/>
          <w:color w:val="1A3A5A"/>
          <w:sz w:val="32"/>
          <w:szCs w:val="32"/>
        </w:rPr>
        <w:t xml:space="preserve">3. CARRY TRADE HIỆN TẠI (02/2026)</w:t>
      </w:r>
    </w:p>
    <w:p>
      <w:pPr>
        <w:spacing w:before="120" w:after="120"/>
      </w:pPr>
      <w:r>
        <w:t xml:space="preserve"/>
      </w:r>
    </w:p>
    <w:p>
      <w:pPr>
        <w:pStyle w:val="Heading2"/>
        <w:spacing w:before="280" w:after="120"/>
      </w:pPr>
      <w:r>
        <w:rPr>
          <w:rFonts w:ascii="Arial" w:cs="Arial" w:eastAsia="Arial" w:hAnsi="Arial"/>
          <w:b/>
          <w:bCs/>
          <w:color w:val="1A5A3A"/>
          <w:sz w:val="26"/>
          <w:szCs w:val="26"/>
        </w:rPr>
        <w:t xml:space="preserve">3.1 EURAUD — Short EUR/Long AUD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5A" w:sz="1"/>
              <w:left w:val="single" w:color="1A3A5A" w:sz="1"/>
              <w:bottom w:val="single" w:color="1A3A5A" w:sz="1"/>
              <w:right w:val="single" w:color="1A3A5A" w:sz="1"/>
            </w:tcBorders>
            <w:shd w:fill="1A3A5A" w:val="clear"/>
            <w:tcMar>
              <w:top w:type="dxa" w:w="100"/>
              <w:left w:type="dxa" w:w="140"/>
              <w:bottom w:type="dxa" w:w="100"/>
              <w:right w:type="dxa" w:w="140"/>
            </w:tcMar>
          </w:tcPr>
          <w:p>
            <w:r>
              <w:rPr>
                <w:rFonts w:ascii="Arial" w:cs="Arial" w:eastAsia="Arial" w:hAnsi="Arial"/>
                <w:b/>
                <w:bCs/>
                <w:color w:val="FFFFFF"/>
                <w:sz w:val="20"/>
                <w:szCs w:val="20"/>
              </w:rPr>
              <w:t xml:space="preserve">Tham số</w:t>
            </w:r>
          </w:p>
        </w:tc>
        <w:tc>
          <w:tcPr>
            <w:tcW w:type="dxa" w:w="6360"/>
            <w:tcBorders>
              <w:top w:val="single" w:color="1A3A5A" w:sz="1"/>
              <w:left w:val="single" w:color="1A3A5A" w:sz="1"/>
              <w:bottom w:val="single" w:color="1A3A5A" w:sz="1"/>
              <w:right w:val="single" w:color="1A3A5A" w:sz="1"/>
            </w:tcBorders>
            <w:shd w:fill="1A3A5A" w:val="clear"/>
            <w:tcMar>
              <w:top w:type="dxa" w:w="100"/>
              <w:left w:type="dxa" w:w="140"/>
              <w:bottom w:type="dxa" w:w="100"/>
              <w:right w:type="dxa" w:w="140"/>
            </w:tcMar>
          </w:tcPr>
          <w:p>
            <w:r>
              <w:rPr>
                <w:rFonts w:ascii="Arial" w:cs="Arial" w:eastAsia="Arial" w:hAnsi="Arial"/>
                <w:b/>
                <w:bCs/>
                <w:color w:val="FFFFFF"/>
                <w:sz w:val="20"/>
                <w:szCs w:val="20"/>
              </w:rPr>
              <w:t xml:space="preserve">Giá trị</w:t>
            </w:r>
          </w:p>
        </w:tc>
      </w:tr>
      <w:tr>
        <w:tc>
          <w:tcPr>
            <w:tcW w:type="dxa" w:w="30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Signal</w:t>
            </w:r>
          </w:p>
        </w:tc>
        <w:tc>
          <w:tcPr>
            <w:tcW w:type="dxa" w:w="636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READY BEARISH — Monthly BREAKOUT + Weekly BREAKOUT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Entry logic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Sell tại range high Daily MBA — obligation defend range</w:t>
            </w:r>
          </w:p>
        </w:tc>
      </w:tr>
      <w:tr>
        <w:tc>
          <w:tcPr>
            <w:tcW w:type="dxa" w:w="30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Rate differential</w:t>
            </w:r>
          </w:p>
        </w:tc>
        <w:tc>
          <w:tcPr>
            <w:tcW w:type="dxa" w:w="636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AUD 3.85% vs EUR 2.65% = +1.45%/năm dương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Carry direction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Short EUR Long AUD = swap dương mỗi ngày</w:t>
            </w:r>
          </w:p>
        </w:tc>
      </w:tr>
      <w:tr>
        <w:tc>
          <w:tcPr>
            <w:tcW w:type="dxa" w:w="30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Exit condition</w:t>
            </w:r>
          </w:p>
        </w:tc>
        <w:tc>
          <w:tcPr>
            <w:tcW w:type="dxa" w:w="636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Monthly flip bullish (soft SL)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Target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MBA 2026-02-19 ~1.665</w:t>
            </w:r>
          </w:p>
        </w:tc>
      </w:tr>
    </w:tbl>
    <w:p>
      <w:pPr>
        <w:spacing w:before="120" w:after="120"/>
      </w:pPr>
      <w:r>
        <w:t xml:space="preserve"/>
      </w:r>
    </w:p>
    <w:p>
      <w:pPr>
        <w:pStyle w:val="Heading2"/>
        <w:spacing w:before="280" w:after="120"/>
      </w:pPr>
      <w:r>
        <w:rPr>
          <w:rFonts w:ascii="Arial" w:cs="Arial" w:eastAsia="Arial" w:hAnsi="Arial"/>
          <w:b/>
          <w:bCs/>
          <w:color w:val="1A5A3A"/>
          <w:sz w:val="26"/>
          <w:szCs w:val="26"/>
        </w:rPr>
        <w:t xml:space="preserve">3.2 AUDJPY — Long AUD/Short JPY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5A" w:sz="1"/>
              <w:left w:val="single" w:color="1A3A5A" w:sz="1"/>
              <w:bottom w:val="single" w:color="1A3A5A" w:sz="1"/>
              <w:right w:val="single" w:color="1A3A5A" w:sz="1"/>
            </w:tcBorders>
            <w:shd w:fill="1A3A5A" w:val="clear"/>
            <w:tcMar>
              <w:top w:type="dxa" w:w="100"/>
              <w:left w:type="dxa" w:w="140"/>
              <w:bottom w:type="dxa" w:w="100"/>
              <w:right w:type="dxa" w:w="140"/>
            </w:tcMar>
          </w:tcPr>
          <w:p>
            <w:r>
              <w:rPr>
                <w:rFonts w:ascii="Arial" w:cs="Arial" w:eastAsia="Arial" w:hAnsi="Arial"/>
                <w:b/>
                <w:bCs/>
                <w:color w:val="FFFFFF"/>
                <w:sz w:val="20"/>
                <w:szCs w:val="20"/>
              </w:rPr>
              <w:t xml:space="preserve">Tham số</w:t>
            </w:r>
          </w:p>
        </w:tc>
        <w:tc>
          <w:tcPr>
            <w:tcW w:type="dxa" w:w="6360"/>
            <w:tcBorders>
              <w:top w:val="single" w:color="1A3A5A" w:sz="1"/>
              <w:left w:val="single" w:color="1A3A5A" w:sz="1"/>
              <w:bottom w:val="single" w:color="1A3A5A" w:sz="1"/>
              <w:right w:val="single" w:color="1A3A5A" w:sz="1"/>
            </w:tcBorders>
            <w:shd w:fill="1A3A5A" w:val="clear"/>
            <w:tcMar>
              <w:top w:type="dxa" w:w="100"/>
              <w:left w:type="dxa" w:w="140"/>
              <w:bottom w:type="dxa" w:w="100"/>
              <w:right w:type="dxa" w:w="140"/>
            </w:tcMar>
          </w:tcPr>
          <w:p>
            <w:r>
              <w:rPr>
                <w:rFonts w:ascii="Arial" w:cs="Arial" w:eastAsia="Arial" w:hAnsi="Arial"/>
                <w:b/>
                <w:bCs/>
                <w:color w:val="FFFFFF"/>
                <w:sz w:val="20"/>
                <w:szCs w:val="20"/>
              </w:rPr>
              <w:t xml:space="preserve">Giá trị</w:t>
            </w:r>
          </w:p>
        </w:tc>
      </w:tr>
      <w:tr>
        <w:tc>
          <w:tcPr>
            <w:tcW w:type="dxa" w:w="30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Signal</w:t>
            </w:r>
          </w:p>
        </w:tc>
        <w:tc>
          <w:tcPr>
            <w:tcW w:type="dxa" w:w="636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READY BULLISH — Monthly BREAKOUT + Weekly IN BALANCE BULLISH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Entry logic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Buy tại range low Daily — obligation defend range</w:t>
            </w:r>
          </w:p>
        </w:tc>
      </w:tr>
      <w:tr>
        <w:tc>
          <w:tcPr>
            <w:tcW w:type="dxa" w:w="30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Rate differential</w:t>
            </w:r>
          </w:p>
        </w:tc>
        <w:tc>
          <w:tcPr>
            <w:tcW w:type="dxa" w:w="636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AUD 3.85% vs JPY 0.75% = +3.1%/năm dương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Carry direction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Long AUD Short JPY = swap dương mỗi ngày lớn nhất</w:t>
            </w:r>
          </w:p>
        </w:tc>
      </w:tr>
      <w:tr>
        <w:tc>
          <w:tcPr>
            <w:tcW w:type="dxa" w:w="30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Backtest</w:t>
            </w:r>
          </w:p>
        </w:tc>
        <w:tc>
          <w:tcPr>
            <w:tcW w:type="dxa" w:w="636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AUDJPYm: +28.7%, PF 4.03, DD chỉ 2.9% (MT5 V2.1)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Exit condition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Monthly flip bearish (soft SL)</w:t>
            </w:r>
          </w:p>
        </w:tc>
      </w:tr>
    </w:tbl>
    <w:p>
      <w:pPr>
        <w:spacing w:before="120" w:after="120"/>
      </w:pPr>
      <w:r>
        <w:t xml:space="preserve"/>
      </w:r>
    </w:p>
    <w:p>
      <w:pPr>
        <w:pStyle w:val="Heading2"/>
        <w:spacing w:before="280" w:after="120"/>
      </w:pPr>
      <w:r>
        <w:rPr>
          <w:rFonts w:ascii="Arial" w:cs="Arial" w:eastAsia="Arial" w:hAnsi="Arial"/>
          <w:b/>
          <w:bCs/>
          <w:color w:val="1A5A3A"/>
          <w:sz w:val="26"/>
          <w:szCs w:val="26"/>
        </w:rPr>
        <w:t xml:space="preserve">3.3 AUDCAD — Long AUD/Short CAD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5A" w:sz="1"/>
              <w:left w:val="single" w:color="1A3A5A" w:sz="1"/>
              <w:bottom w:val="single" w:color="1A3A5A" w:sz="1"/>
              <w:right w:val="single" w:color="1A3A5A" w:sz="1"/>
            </w:tcBorders>
            <w:shd w:fill="1A3A5A" w:val="clear"/>
            <w:tcMar>
              <w:top w:type="dxa" w:w="100"/>
              <w:left w:type="dxa" w:w="140"/>
              <w:bottom w:type="dxa" w:w="100"/>
              <w:right w:type="dxa" w:w="140"/>
            </w:tcMar>
          </w:tcPr>
          <w:p>
            <w:r>
              <w:rPr>
                <w:rFonts w:ascii="Arial" w:cs="Arial" w:eastAsia="Arial" w:hAnsi="Arial"/>
                <w:b/>
                <w:bCs/>
                <w:color w:val="FFFFFF"/>
                <w:sz w:val="20"/>
                <w:szCs w:val="20"/>
              </w:rPr>
              <w:t xml:space="preserve">Tham số</w:t>
            </w:r>
          </w:p>
        </w:tc>
        <w:tc>
          <w:tcPr>
            <w:tcW w:type="dxa" w:w="6360"/>
            <w:tcBorders>
              <w:top w:val="single" w:color="1A3A5A" w:sz="1"/>
              <w:left w:val="single" w:color="1A3A5A" w:sz="1"/>
              <w:bottom w:val="single" w:color="1A3A5A" w:sz="1"/>
              <w:right w:val="single" w:color="1A3A5A" w:sz="1"/>
            </w:tcBorders>
            <w:shd w:fill="1A3A5A" w:val="clear"/>
            <w:tcMar>
              <w:top w:type="dxa" w:w="100"/>
              <w:left w:type="dxa" w:w="140"/>
              <w:bottom w:type="dxa" w:w="100"/>
              <w:right w:type="dxa" w:w="140"/>
            </w:tcMar>
          </w:tcPr>
          <w:p>
            <w:r>
              <w:rPr>
                <w:rFonts w:ascii="Arial" w:cs="Arial" w:eastAsia="Arial" w:hAnsi="Arial"/>
                <w:b/>
                <w:bCs/>
                <w:color w:val="FFFFFF"/>
                <w:sz w:val="20"/>
                <w:szCs w:val="20"/>
              </w:rPr>
              <w:t xml:space="preserve">Giá trị</w:t>
            </w:r>
          </w:p>
        </w:tc>
      </w:tr>
      <w:tr>
        <w:tc>
          <w:tcPr>
            <w:tcW w:type="dxa" w:w="30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Signal</w:t>
            </w:r>
          </w:p>
        </w:tc>
        <w:tc>
          <w:tcPr>
            <w:tcW w:type="dxa" w:w="636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READY BULLISH — Monthly BREAKOUT + Weekly BREAKOUT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Rate differential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 3.85% vs CAD 2.75% = +0.60%/năm dương</w:t>
            </w:r>
          </w:p>
        </w:tc>
      </w:tr>
      <w:tr>
        <w:tc>
          <w:tcPr>
            <w:tcW w:type="dxa" w:w="30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Carry direction</w:t>
            </w:r>
          </w:p>
        </w:tc>
        <w:tc>
          <w:tcPr>
            <w:tcW w:type="dxa" w:w="636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Long AUD Short CAD = swap dương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Nhỏ nhất trong 3 cặp nhưng vẫn dương</w:t>
            </w:r>
          </w:p>
        </w:tc>
      </w:tr>
    </w:tbl>
    <w:p>
      <w:pPr>
        <w:spacing w:before="120" w:after="120"/>
      </w:pPr>
      <w:r>
        <w:t xml:space="preserve"/>
      </w:r>
    </w:p>
    <w:p>
      <w:pPr>
        <w:pStyle w:val="Heading1"/>
        <w:pBdr>
          <w:bottom w:val="single" w:color="00AACC" w:sz="6" w:space="1"/>
        </w:pBdr>
        <w:spacing w:before="360" w:after="160"/>
      </w:pPr>
      <w:r>
        <w:rPr>
          <w:rFonts w:ascii="Arial" w:cs="Arial" w:eastAsia="Arial" w:hAnsi="Arial"/>
          <w:b/>
          <w:bCs/>
          <w:color w:val="1A3A5A"/>
          <w:sz w:val="32"/>
          <w:szCs w:val="32"/>
        </w:rPr>
        <w:t xml:space="preserve">4. BỐN LAYER ALIGNMENT</w:t>
      </w:r>
    </w:p>
    <w:p>
      <w:pPr>
        <w:spacing w:before="120" w:after="120"/>
      </w:pPr>
      <w:r>
        <w:t xml:space="preserve"/>
      </w:r>
    </w:p>
    <w:p>
      <w:pPr>
        <w:spacing w:before="80" w:after="80"/>
      </w:pPr>
      <w:r>
        <w:rPr>
          <w:rFonts w:ascii="Arial" w:cs="Arial" w:eastAsia="Arial" w:hAnsi="Arial"/>
          <w:b/>
          <w:bCs/>
          <w:sz w:val="22"/>
          <w:szCs w:val="22"/>
        </w:rPr>
        <w:t xml:space="preserve">Khi cả 4 layer align, đây không phải trade — đây là INVESTMENT có thể size lớn: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1A3A5A" w:sz="1"/>
              <w:left w:val="single" w:color="1A3A5A" w:sz="1"/>
              <w:bottom w:val="single" w:color="1A3A5A" w:sz="1"/>
              <w:right w:val="single" w:color="1A3A5A" w:sz="1"/>
            </w:tcBorders>
            <w:shd w:fill="1A3A5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4500"/>
            <w:tcBorders>
              <w:top w:val="single" w:color="1A3A5A" w:sz="1"/>
              <w:left w:val="single" w:color="1A3A5A" w:sz="1"/>
              <w:bottom w:val="single" w:color="1A3A5A" w:sz="1"/>
              <w:right w:val="single" w:color="1A3A5A" w:sz="1"/>
            </w:tcBorders>
            <w:shd w:fill="1A3A5A" w:val="clear"/>
            <w:tcMar>
              <w:top w:type="dxa" w:w="100"/>
              <w:left w:type="dxa" w:w="140"/>
              <w:bottom w:type="dxa" w:w="100"/>
              <w:right w:type="dxa" w:w="140"/>
            </w:tcMar>
          </w:tcPr>
          <w:p>
            <w:r>
              <w:rPr>
                <w:rFonts w:ascii="Arial" w:cs="Arial" w:eastAsia="Arial" w:hAnsi="Arial"/>
                <w:b/>
                <w:bCs/>
                <w:color w:val="FFFFFF"/>
                <w:sz w:val="20"/>
                <w:szCs w:val="20"/>
              </w:rPr>
              <w:t xml:space="preserve">Nội dung</w:t>
            </w:r>
          </w:p>
        </w:tc>
        <w:tc>
          <w:tcPr>
            <w:tcW w:type="dxa" w:w="2860"/>
            <w:tcBorders>
              <w:top w:val="single" w:color="1A3A5A" w:sz="1"/>
              <w:left w:val="single" w:color="1A3A5A" w:sz="1"/>
              <w:bottom w:val="single" w:color="1A3A5A" w:sz="1"/>
              <w:right w:val="single" w:color="1A3A5A" w:sz="1"/>
            </w:tcBorders>
            <w:shd w:fill="1A3A5A" w:val="clear"/>
            <w:tcMar>
              <w:top w:type="dxa" w:w="100"/>
              <w:left w:type="dxa" w:w="140"/>
              <w:bottom w:type="dxa" w:w="100"/>
              <w:right w:type="dxa" w:w="140"/>
            </w:tcMar>
          </w:tcPr>
          <w:p>
            <w:r>
              <w:rPr>
                <w:rFonts w:ascii="Arial" w:cs="Arial" w:eastAsia="Arial" w:hAnsi="Arial"/>
                <w:b/>
                <w:bCs/>
                <w:color w:val="FFFFFF"/>
                <w:sz w:val="20"/>
                <w:szCs w:val="20"/>
              </w:rPr>
              <w:t xml:space="preserve">Confirmation</w:t>
            </w:r>
          </w:p>
        </w:tc>
      </w:tr>
      <w:tr>
        <w:tc>
          <w:tcPr>
            <w:tcW w:type="dxa" w:w="20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Layer 1: Monetary Policy</w:t>
            </w:r>
          </w:p>
        </w:tc>
        <w:tc>
          <w:tcPr>
            <w:tcW w:type="dxa" w:w="45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RBA tăng lãi suất, ECB/BOJ yếu hơn, differential rõ ràng</w:t>
            </w:r>
          </w:p>
        </w:tc>
        <w:tc>
          <w:tcPr>
            <w:tcW w:type="dxa" w:w="286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 Feb 2026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Layer 2: TPO Obligations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Monthly + Weekly align, Compression → Breakout confirm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Dashboard</w:t>
            </w:r>
          </w:p>
        </w:tc>
      </w:tr>
      <w:tr>
        <w:tc>
          <w:tcPr>
            <w:tcW w:type="dxa" w:w="20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Layer 3: Currency Strength</w:t>
            </w:r>
          </w:p>
        </w:tc>
        <w:tc>
          <w:tcPr>
            <w:tcW w:type="dxa" w:w="45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AUD mạnh nhất cross-market, EUR JPY yếu đồng loạt</w:t>
            </w:r>
          </w:p>
        </w:tc>
        <w:tc>
          <w:tcPr>
            <w:tcW w:type="dxa" w:w="286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 Scan tự động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Layer 4: Carry Differential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Được trả tiền mỗi ngày để hold, float che đỡ noise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Dương cả 3 cặp</w:t>
            </w:r>
          </w:p>
        </w:tc>
      </w:tr>
    </w:tbl>
    <w:p>
      <w:pPr>
        <w:spacing w:before="120" w:after="120"/>
      </w:pPr>
      <w:r>
        <w:t xml:space="preserve"/>
      </w:r>
    </w:p>
    <w:p>
      <w:pPr>
        <w:pStyle w:val="Heading1"/>
        <w:pBdr>
          <w:bottom w:val="single" w:color="00AACC" w:sz="6" w:space="1"/>
        </w:pBdr>
        <w:spacing w:before="360" w:after="160"/>
      </w:pPr>
      <w:r>
        <w:rPr>
          <w:rFonts w:ascii="Arial" w:cs="Arial" w:eastAsia="Arial" w:hAnsi="Arial"/>
          <w:b/>
          <w:bCs/>
          <w:color w:val="1A3A5A"/>
          <w:sz w:val="32"/>
          <w:szCs w:val="32"/>
        </w:rPr>
        <w:t xml:space="preserve">5. RISK MANAGEMENT — CARRY TRADE</w:t>
      </w:r>
    </w:p>
    <w:p>
      <w:pPr>
        <w:spacing w:before="120" w:after="120"/>
      </w:pPr>
      <w:r>
        <w:t xml:space="preserve"/>
      </w:r>
    </w:p>
    <w:p>
      <w:pPr>
        <w:pStyle w:val="Heading2"/>
        <w:spacing w:before="280" w:after="120"/>
      </w:pPr>
      <w:r>
        <w:rPr>
          <w:rFonts w:ascii="Arial" w:cs="Arial" w:eastAsia="Arial" w:hAnsi="Arial"/>
          <w:b/>
          <w:bCs/>
          <w:color w:val="1A5A3A"/>
          <w:sz w:val="26"/>
          <w:szCs w:val="26"/>
        </w:rPr>
        <w:t xml:space="preserve">5.1 Tại sao không dùng Hard SL</w:t>
      </w:r>
    </w:p>
    <w:p>
      <w:pPr>
        <w:pStyle w:val="ListParagraph"/>
        <w:numPr>
          <w:ilvl w:val="0"/>
          <w:numId w:val="2"/>
        </w:numPr>
        <w:spacing w:before="60" w:after="60"/>
      </w:pPr>
      <w:r>
        <w:rPr>
          <w:rFonts w:ascii="Arial" w:cs="Arial" w:eastAsia="Arial" w:hAnsi="Arial"/>
          <w:b w:val="false"/>
          <w:bCs w:val="false"/>
          <w:sz w:val="22"/>
          <w:szCs w:val="22"/>
        </w:rPr>
        <w:t xml:space="preserve">Soft SL: exit khi Monthly TPO flip direction</w:t>
      </w:r>
    </w:p>
    <w:p>
      <w:pPr>
        <w:pStyle w:val="ListParagraph"/>
        <w:numPr>
          <w:ilvl w:val="0"/>
          <w:numId w:val="2"/>
        </w:numPr>
        <w:spacing w:before="60" w:after="60"/>
      </w:pPr>
      <w:r>
        <w:rPr>
          <w:rFonts w:ascii="Arial" w:cs="Arial" w:eastAsia="Arial" w:hAnsi="Arial"/>
          <w:b w:val="false"/>
          <w:bCs w:val="false"/>
          <w:sz w:val="22"/>
          <w:szCs w:val="22"/>
        </w:rPr>
        <w:t xml:space="preserve">Monetary policy thay đổi chậm → có thời gian sửa</w:t>
      </w:r>
    </w:p>
    <w:p>
      <w:pPr>
        <w:pStyle w:val="ListParagraph"/>
        <w:numPr>
          <w:ilvl w:val="0"/>
          <w:numId w:val="2"/>
        </w:numPr>
        <w:spacing w:before="60" w:after="60"/>
      </w:pPr>
      <w:r>
        <w:rPr>
          <w:rFonts w:ascii="Arial" w:cs="Arial" w:eastAsia="Arial" w:hAnsi="Arial"/>
          <w:b w:val="false"/>
          <w:bCs w:val="false"/>
          <w:sz w:val="22"/>
          <w:szCs w:val="22"/>
        </w:rPr>
        <w:t xml:space="preserve">Carry differential che đỡ drawdown tạm thời</w:t>
      </w:r>
    </w:p>
    <w:p>
      <w:pPr>
        <w:pStyle w:val="ListParagraph"/>
        <w:numPr>
          <w:ilvl w:val="0"/>
          <w:numId w:val="2"/>
        </w:numPr>
        <w:spacing w:before="60" w:after="60"/>
      </w:pPr>
      <w:r>
        <w:rPr>
          <w:rFonts w:ascii="Arial" w:cs="Arial" w:eastAsia="Arial" w:hAnsi="Arial"/>
          <w:b w:val="false"/>
          <w:bCs w:val="false"/>
          <w:sz w:val="22"/>
          <w:szCs w:val="22"/>
        </w:rPr>
        <w:t xml:space="preserve">Spot (không leverage cao) → không bị forced liquidation</w:t>
      </w:r>
    </w:p>
    <w:p>
      <w:pPr>
        <w:spacing w:before="120" w:after="120"/>
      </w:pPr>
      <w:r>
        <w:t xml:space="preserve"/>
      </w:r>
    </w:p>
    <w:p>
      <w:pPr>
        <w:pStyle w:val="Heading2"/>
        <w:spacing w:before="280" w:after="120"/>
      </w:pPr>
      <w:r>
        <w:rPr>
          <w:rFonts w:ascii="Arial" w:cs="Arial" w:eastAsia="Arial" w:hAnsi="Arial"/>
          <w:b/>
          <w:bCs/>
          <w:color w:val="1A5A3A"/>
          <w:sz w:val="26"/>
          <w:szCs w:val="26"/>
        </w:rPr>
        <w:t xml:space="preserve">5.2 Rủi ro cần theo dõi</w:t>
      </w:r>
    </w:p>
    <w:p>
      <w:pPr>
        <w:pStyle w:val="ListParagraph"/>
        <w:numPr>
          <w:ilvl w:val="0"/>
          <w:numId w:val="2"/>
        </w:numPr>
        <w:spacing w:before="60" w:after="60"/>
      </w:pPr>
      <w:r>
        <w:rPr>
          <w:rFonts w:ascii="Arial" w:cs="Arial" w:eastAsia="Arial" w:hAnsi="Arial"/>
          <w:b/>
          <w:bCs/>
          <w:sz w:val="22"/>
          <w:szCs w:val="22"/>
        </w:rPr>
        <w:t xml:space="preserve">BOJ tăng lãi suất tháng 4/2026 → AUDJPY differential thu hẹp</w:t>
      </w:r>
    </w:p>
    <w:p>
      <w:pPr>
        <w:pStyle w:val="ListParagraph"/>
        <w:numPr>
          <w:ilvl w:val="0"/>
          <w:numId w:val="2"/>
        </w:numPr>
        <w:spacing w:before="60" w:after="60"/>
      </w:pPr>
      <w:r>
        <w:rPr>
          <w:rFonts w:ascii="Arial" w:cs="Arial" w:eastAsia="Arial" w:hAnsi="Arial"/>
          <w:b w:val="false"/>
          <w:bCs w:val="false"/>
          <w:sz w:val="22"/>
          <w:szCs w:val="22"/>
        </w:rPr>
        <w:t xml:space="preserve">AUD concentration: cả 3 cặp đều long AUD → AUD là single point of failure</w:t>
      </w:r>
    </w:p>
    <w:p>
      <w:pPr>
        <w:pStyle w:val="ListParagraph"/>
        <w:numPr>
          <w:ilvl w:val="0"/>
          <w:numId w:val="2"/>
        </w:numPr>
        <w:spacing w:before="60" w:after="60"/>
      </w:pPr>
      <w:r>
        <w:rPr>
          <w:rFonts w:ascii="Arial" w:cs="Arial" w:eastAsia="Arial" w:hAnsi="Arial"/>
          <w:b w:val="false"/>
          <w:bCs w:val="false"/>
          <w:sz w:val="22"/>
          <w:szCs w:val="22"/>
        </w:rPr>
        <w:t xml:space="preserve">RBA đột ngột dovish → thesis thay đổi ngay lập tức</w:t>
      </w:r>
    </w:p>
    <w:p>
      <w:pPr>
        <w:pStyle w:val="ListParagraph"/>
        <w:numPr>
          <w:ilvl w:val="0"/>
          <w:numId w:val="2"/>
        </w:numPr>
        <w:spacing w:before="60" w:after="60"/>
      </w:pPr>
      <w:r>
        <w:rPr>
          <w:rFonts w:ascii="Arial" w:cs="Arial" w:eastAsia="Arial" w:hAnsi="Arial"/>
          <w:b w:val="false"/>
          <w:bCs w:val="false"/>
          <w:sz w:val="22"/>
          <w:szCs w:val="22"/>
        </w:rPr>
        <w:t xml:space="preserve">Size: không over-allocate vào AUD quá mức</w:t>
      </w:r>
    </w:p>
    <w:p>
      <w:pPr>
        <w:spacing w:before="120" w:after="120"/>
      </w:pPr>
      <w:r>
        <w:t xml:space="preserve"/>
      </w:r>
    </w:p>
    <w:p>
      <w:pPr>
        <w:pStyle w:val="Heading2"/>
        <w:spacing w:before="280" w:after="120"/>
      </w:pPr>
      <w:r>
        <w:rPr>
          <w:rFonts w:ascii="Arial" w:cs="Arial" w:eastAsia="Arial" w:hAnsi="Arial"/>
          <w:b/>
          <w:bCs/>
          <w:color w:val="1A5A3A"/>
          <w:sz w:val="26"/>
          <w:szCs w:val="26"/>
        </w:rPr>
        <w:t xml:space="preserve">5.3 Exit conditions rõ ràng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1A3A5A" w:sz="1"/>
              <w:left w:val="single" w:color="1A3A5A" w:sz="1"/>
              <w:bottom w:val="single" w:color="1A3A5A" w:sz="1"/>
              <w:right w:val="single" w:color="1A3A5A" w:sz="1"/>
            </w:tcBorders>
            <w:shd w:fill="1A3A5A" w:val="clear"/>
            <w:tcMar>
              <w:top w:type="dxa" w:w="100"/>
              <w:left w:type="dxa" w:w="140"/>
              <w:bottom w:type="dxa" w:w="100"/>
              <w:right w:type="dxa" w:w="140"/>
            </w:tcMar>
          </w:tcPr>
          <w:p>
            <w:r>
              <w:rPr>
                <w:rFonts w:ascii="Arial" w:cs="Arial" w:eastAsia="Arial" w:hAnsi="Arial"/>
                <w:b/>
                <w:bCs/>
                <w:color w:val="FFFFFF"/>
                <w:sz w:val="20"/>
                <w:szCs w:val="20"/>
              </w:rPr>
              <w:t xml:space="preserve">Cặp</w:t>
            </w:r>
          </w:p>
        </w:tc>
        <w:tc>
          <w:tcPr>
            <w:tcW w:type="dxa" w:w="3500"/>
            <w:tcBorders>
              <w:top w:val="single" w:color="1A3A5A" w:sz="1"/>
              <w:left w:val="single" w:color="1A3A5A" w:sz="1"/>
              <w:bottom w:val="single" w:color="1A3A5A" w:sz="1"/>
              <w:right w:val="single" w:color="1A3A5A" w:sz="1"/>
            </w:tcBorders>
            <w:shd w:fill="1A3A5A" w:val="clear"/>
            <w:tcMar>
              <w:top w:type="dxa" w:w="100"/>
              <w:left w:type="dxa" w:w="140"/>
              <w:bottom w:type="dxa" w:w="100"/>
              <w:right w:type="dxa" w:w="140"/>
            </w:tcMar>
          </w:tcPr>
          <w:p>
            <w:r>
              <w:rPr>
                <w:rFonts w:ascii="Arial" w:cs="Arial" w:eastAsia="Arial" w:hAnsi="Arial"/>
                <w:b/>
                <w:bCs/>
                <w:color w:val="FFFFFF"/>
                <w:sz w:val="20"/>
                <w:szCs w:val="20"/>
              </w:rPr>
              <w:t xml:space="preserve">Exit khi</w:t>
            </w:r>
          </w:p>
        </w:tc>
        <w:tc>
          <w:tcPr>
            <w:tcW w:type="dxa" w:w="3860"/>
            <w:tcBorders>
              <w:top w:val="single" w:color="1A3A5A" w:sz="1"/>
              <w:left w:val="single" w:color="1A3A5A" w:sz="1"/>
              <w:bottom w:val="single" w:color="1A3A5A" w:sz="1"/>
              <w:right w:val="single" w:color="1A3A5A" w:sz="1"/>
            </w:tcBorders>
            <w:shd w:fill="1A3A5A" w:val="clear"/>
            <w:tcMar>
              <w:top w:type="dxa" w:w="100"/>
              <w:left w:type="dxa" w:w="140"/>
              <w:bottom w:type="dxa" w:w="100"/>
              <w:right w:type="dxa" w:w="140"/>
            </w:tcMar>
          </w:tcPr>
          <w:p>
            <w:r>
              <w:rPr>
                <w:rFonts w:ascii="Arial" w:cs="Arial" w:eastAsia="Arial" w:hAnsi="Arial"/>
                <w:b/>
                <w:bCs/>
                <w:color w:val="FFFFFF"/>
                <w:sz w:val="20"/>
                <w:szCs w:val="20"/>
              </w:rPr>
              <w:t xml:space="preserve">Tín hiệu</w:t>
            </w:r>
          </w:p>
        </w:tc>
      </w:tr>
      <w:tr>
        <w:tc>
          <w:tcPr>
            <w:tcW w:type="dxa" w:w="20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EURAUD</w:t>
            </w:r>
          </w:p>
        </w:tc>
        <w:tc>
          <w:tcPr>
            <w:tcW w:type="dxa" w:w="35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Monthly flip BULLISH</w:t>
            </w:r>
          </w:p>
        </w:tc>
        <w:tc>
          <w:tcPr>
            <w:tcW w:type="dxa" w:w="386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TPO session flip + bearish TPO count giảm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AUDJPY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Monthly flip BEARISH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TPO session flip + bullish TPO count giảm</w:t>
            </w:r>
          </w:p>
        </w:tc>
      </w:tr>
      <w:tr>
        <w:tc>
          <w:tcPr>
            <w:tcW w:type="dxa" w:w="20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AUDCAD</w:t>
            </w:r>
          </w:p>
        </w:tc>
        <w:tc>
          <w:tcPr>
            <w:tcW w:type="dxa" w:w="35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Monthly flip BEARISH</w:t>
            </w:r>
          </w:p>
        </w:tc>
        <w:tc>
          <w:tcPr>
            <w:tcW w:type="dxa" w:w="386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TPO session flip + bullish TPO count giảm</w:t>
            </w:r>
          </w:p>
        </w:tc>
      </w:tr>
    </w:tbl>
    <w:p>
      <w:pPr>
        <w:spacing w:before="120" w:after="120"/>
      </w:pPr>
      <w:r>
        <w:t xml:space="preserve"/>
      </w:r>
    </w:p>
    <w:p>
      <w:pPr>
        <w:pStyle w:val="Heading1"/>
        <w:pBdr>
          <w:bottom w:val="single" w:color="00AACC" w:sz="6" w:space="1"/>
        </w:pBdr>
        <w:spacing w:before="360" w:after="160"/>
      </w:pPr>
      <w:r>
        <w:rPr>
          <w:rFonts w:ascii="Arial" w:cs="Arial" w:eastAsia="Arial" w:hAnsi="Arial"/>
          <w:b/>
          <w:bCs/>
          <w:color w:val="1A3A5A"/>
          <w:sz w:val="32"/>
          <w:szCs w:val="32"/>
        </w:rPr>
        <w:t xml:space="preserve">6. BACKTEST VALIDATION</w:t>
      </w:r>
    </w:p>
    <w:p>
      <w:pPr>
        <w:spacing w:before="120" w:after="120"/>
      </w:pPr>
      <w:r>
        <w:t xml:space="preserve"/>
      </w:r>
    </w:p>
    <w:p>
      <w:pPr>
        <w:spacing w:before="80" w:after="80"/>
      </w:pPr>
      <w:r>
        <w:rPr>
          <w:rFonts w:ascii="Arial" w:cs="Arial" w:eastAsia="Arial" w:hAnsi="Arial"/>
          <w:sz w:val="22"/>
          <w:szCs w:val="22"/>
        </w:rPr>
        <w:t xml:space="preserve">MT5 V2.1 Soft SL — FX/Commodities backtest confirm:</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700"/>
        <w:gridCol w:w="1700"/>
        <w:gridCol w:w="1360"/>
      </w:tblGrid>
      <w:tr>
        <w:trPr>
          <w:tblHeader/>
        </w:trPr>
        <w:tc>
          <w:tcPr>
            <w:tcW w:type="dxa" w:w="2000"/>
            <w:tcBorders>
              <w:top w:val="single" w:color="1A3A5A" w:sz="1"/>
              <w:left w:val="single" w:color="1A3A5A" w:sz="1"/>
              <w:bottom w:val="single" w:color="1A3A5A" w:sz="1"/>
              <w:right w:val="single" w:color="1A3A5A" w:sz="1"/>
            </w:tcBorders>
            <w:shd w:fill="1A3A5A" w:val="clear"/>
            <w:tcMar>
              <w:top w:type="dxa" w:w="100"/>
              <w:left w:type="dxa" w:w="140"/>
              <w:bottom w:type="dxa" w:w="100"/>
              <w:right w:type="dxa" w:w="140"/>
            </w:tcMar>
          </w:tcPr>
          <w:p>
            <w:r>
              <w:rPr>
                <w:rFonts w:ascii="Arial" w:cs="Arial" w:eastAsia="Arial" w:hAnsi="Arial"/>
                <w:b/>
                <w:bCs/>
                <w:color w:val="FFFFFF"/>
                <w:sz w:val="20"/>
                <w:szCs w:val="20"/>
              </w:rPr>
              <w:t xml:space="preserve">Symbol</w:t>
            </w:r>
          </w:p>
        </w:tc>
        <w:tc>
          <w:tcPr>
            <w:tcW w:type="dxa" w:w="1300"/>
            <w:tcBorders>
              <w:top w:val="single" w:color="1A3A5A" w:sz="1"/>
              <w:left w:val="single" w:color="1A3A5A" w:sz="1"/>
              <w:bottom w:val="single" w:color="1A3A5A" w:sz="1"/>
              <w:right w:val="single" w:color="1A3A5A" w:sz="1"/>
            </w:tcBorders>
            <w:shd w:fill="1A3A5A" w:val="clear"/>
            <w:tcMar>
              <w:top w:type="dxa" w:w="100"/>
              <w:left w:type="dxa" w:w="140"/>
              <w:bottom w:type="dxa" w:w="100"/>
              <w:right w:type="dxa" w:w="140"/>
            </w:tcMar>
          </w:tcPr>
          <w:p>
            <w:r>
              <w:rPr>
                <w:rFonts w:ascii="Arial" w:cs="Arial" w:eastAsia="Arial" w:hAnsi="Arial"/>
                <w:b/>
                <w:bCs/>
                <w:color w:val="FFFFFF"/>
                <w:sz w:val="20"/>
                <w:szCs w:val="20"/>
              </w:rPr>
              <w:t xml:space="preserve">Trades</w:t>
            </w:r>
          </w:p>
        </w:tc>
        <w:tc>
          <w:tcPr>
            <w:tcW w:type="dxa" w:w="1300"/>
            <w:tcBorders>
              <w:top w:val="single" w:color="1A3A5A" w:sz="1"/>
              <w:left w:val="single" w:color="1A3A5A" w:sz="1"/>
              <w:bottom w:val="single" w:color="1A3A5A" w:sz="1"/>
              <w:right w:val="single" w:color="1A3A5A" w:sz="1"/>
            </w:tcBorders>
            <w:shd w:fill="1A3A5A" w:val="clear"/>
            <w:tcMar>
              <w:top w:type="dxa" w:w="100"/>
              <w:left w:type="dxa" w:w="140"/>
              <w:bottom w:type="dxa" w:w="100"/>
              <w:right w:type="dxa" w:w="140"/>
            </w:tcMar>
          </w:tcPr>
          <w:p>
            <w:r>
              <w:rPr>
                <w:rFonts w:ascii="Arial" w:cs="Arial" w:eastAsia="Arial" w:hAnsi="Arial"/>
                <w:b/>
                <w:bCs/>
                <w:color w:val="FFFFFF"/>
                <w:sz w:val="20"/>
                <w:szCs w:val="20"/>
              </w:rPr>
              <w:t xml:space="preserve">Win Rate</w:t>
            </w:r>
          </w:p>
        </w:tc>
        <w:tc>
          <w:tcPr>
            <w:tcW w:type="dxa" w:w="1700"/>
            <w:tcBorders>
              <w:top w:val="single" w:color="1A3A5A" w:sz="1"/>
              <w:left w:val="single" w:color="1A3A5A" w:sz="1"/>
              <w:bottom w:val="single" w:color="1A3A5A" w:sz="1"/>
              <w:right w:val="single" w:color="1A3A5A" w:sz="1"/>
            </w:tcBorders>
            <w:shd w:fill="1A3A5A" w:val="clear"/>
            <w:tcMar>
              <w:top w:type="dxa" w:w="100"/>
              <w:left w:type="dxa" w:w="140"/>
              <w:bottom w:type="dxa" w:w="100"/>
              <w:right w:type="dxa" w:w="140"/>
            </w:tcMar>
          </w:tcPr>
          <w:p>
            <w:r>
              <w:rPr>
                <w:rFonts w:ascii="Arial" w:cs="Arial" w:eastAsia="Arial" w:hAnsi="Arial"/>
                <w:b/>
                <w:bCs/>
                <w:color w:val="FFFFFF"/>
                <w:sz w:val="20"/>
                <w:szCs w:val="20"/>
              </w:rPr>
              <w:t xml:space="preserve">Net Return</w:t>
            </w:r>
          </w:p>
        </w:tc>
        <w:tc>
          <w:tcPr>
            <w:tcW w:type="dxa" w:w="1700"/>
            <w:tcBorders>
              <w:top w:val="single" w:color="1A3A5A" w:sz="1"/>
              <w:left w:val="single" w:color="1A3A5A" w:sz="1"/>
              <w:bottom w:val="single" w:color="1A3A5A" w:sz="1"/>
              <w:right w:val="single" w:color="1A3A5A" w:sz="1"/>
            </w:tcBorders>
            <w:shd w:fill="1A3A5A" w:val="clear"/>
            <w:tcMar>
              <w:top w:type="dxa" w:w="100"/>
              <w:left w:type="dxa" w:w="140"/>
              <w:bottom w:type="dxa" w:w="100"/>
              <w:right w:type="dxa" w:w="140"/>
            </w:tcMar>
          </w:tcPr>
          <w:p>
            <w:r>
              <w:rPr>
                <w:rFonts w:ascii="Arial" w:cs="Arial" w:eastAsia="Arial" w:hAnsi="Arial"/>
                <w:b/>
                <w:bCs/>
                <w:color w:val="FFFFFF"/>
                <w:sz w:val="20"/>
                <w:szCs w:val="20"/>
              </w:rPr>
              <w:t xml:space="preserve">Profit Factor</w:t>
            </w:r>
          </w:p>
        </w:tc>
        <w:tc>
          <w:tcPr>
            <w:tcW w:type="dxa" w:w="1360"/>
            <w:tcBorders>
              <w:top w:val="single" w:color="1A3A5A" w:sz="1"/>
              <w:left w:val="single" w:color="1A3A5A" w:sz="1"/>
              <w:bottom w:val="single" w:color="1A3A5A" w:sz="1"/>
              <w:right w:val="single" w:color="1A3A5A" w:sz="1"/>
            </w:tcBorders>
            <w:shd w:fill="1A3A5A" w:val="clear"/>
            <w:tcMar>
              <w:top w:type="dxa" w:w="100"/>
              <w:left w:type="dxa" w:w="140"/>
              <w:bottom w:type="dxa" w:w="100"/>
              <w:right w:type="dxa" w:w="140"/>
            </w:tcMar>
          </w:tcPr>
          <w:p>
            <w:r>
              <w:rPr>
                <w:rFonts w:ascii="Arial" w:cs="Arial" w:eastAsia="Arial" w:hAnsi="Arial"/>
                <w:b/>
                <w:bCs/>
                <w:color w:val="FFFFFF"/>
                <w:sz w:val="20"/>
                <w:szCs w:val="20"/>
              </w:rPr>
              <w:t xml:space="preserve">Max DD</w:t>
            </w:r>
          </w:p>
        </w:tc>
      </w:tr>
      <w:tr>
        <w:tc>
          <w:tcPr>
            <w:tcW w:type="dxa" w:w="20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AUDJPYm</w:t>
            </w:r>
          </w:p>
        </w:tc>
        <w:tc>
          <w:tcPr>
            <w:tcW w:type="dxa" w:w="13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10</w:t>
            </w:r>
          </w:p>
        </w:tc>
        <w:tc>
          <w:tcPr>
            <w:tcW w:type="dxa" w:w="13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50%</w:t>
            </w:r>
          </w:p>
        </w:tc>
        <w:tc>
          <w:tcPr>
            <w:tcW w:type="dxa" w:w="17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+28.7%</w:t>
            </w:r>
          </w:p>
        </w:tc>
        <w:tc>
          <w:tcPr>
            <w:tcW w:type="dxa" w:w="17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4.03</w:t>
            </w:r>
          </w:p>
        </w:tc>
        <w:tc>
          <w:tcPr>
            <w:tcW w:type="dxa" w:w="136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2.9%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EURJPYm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+17.1%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4.70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4.4%</w:t>
            </w:r>
          </w:p>
        </w:tc>
      </w:tr>
      <w:tr>
        <w:tc>
          <w:tcPr>
            <w:tcW w:type="dxa" w:w="20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CHFJPYm</w:t>
            </w:r>
          </w:p>
        </w:tc>
        <w:tc>
          <w:tcPr>
            <w:tcW w:type="dxa" w:w="13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4</w:t>
            </w:r>
          </w:p>
        </w:tc>
        <w:tc>
          <w:tcPr>
            <w:tcW w:type="dxa" w:w="13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75%</w:t>
            </w:r>
          </w:p>
        </w:tc>
        <w:tc>
          <w:tcPr>
            <w:tcW w:type="dxa" w:w="17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+13.6%</w:t>
            </w:r>
          </w:p>
        </w:tc>
        <w:tc>
          <w:tcPr>
            <w:tcW w:type="dxa" w:w="17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6.57</w:t>
            </w:r>
          </w:p>
        </w:tc>
        <w:tc>
          <w:tcPr>
            <w:tcW w:type="dxa" w:w="136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2.5%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XAUUSDm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+57.0%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20.37</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2.2%</w:t>
            </w:r>
          </w:p>
        </w:tc>
      </w:tr>
      <w:tr>
        <w:tc>
          <w:tcPr>
            <w:tcW w:type="dxa" w:w="20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XPDUSDm</w:t>
            </w:r>
          </w:p>
        </w:tc>
        <w:tc>
          <w:tcPr>
            <w:tcW w:type="dxa" w:w="13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10</w:t>
            </w:r>
          </w:p>
        </w:tc>
        <w:tc>
          <w:tcPr>
            <w:tcW w:type="dxa" w:w="13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60%</w:t>
            </w:r>
          </w:p>
        </w:tc>
        <w:tc>
          <w:tcPr>
            <w:tcW w:type="dxa" w:w="17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+91.4%</w:t>
            </w:r>
          </w:p>
        </w:tc>
        <w:tc>
          <w:tcPr>
            <w:tcW w:type="dxa" w:w="170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5.39</w:t>
            </w:r>
          </w:p>
        </w:tc>
        <w:tc>
          <w:tcPr>
            <w:tcW w:type="dxa" w:w="1360"/>
            <w:tcBorders>
              <w:top w:val="single" w:color="CCCCCC" w:sz="1"/>
              <w:left w:val="single" w:color="CCCCCC" w:sz="1"/>
              <w:bottom w:val="single" w:color="CCCCCC" w:sz="1"/>
              <w:right w:val="single" w:color="CCCCCC" w:sz="1"/>
            </w:tcBorders>
            <w:shd w:fill="F0F6FA" w:val="clear"/>
            <w:tcMar>
              <w:top w:type="dxa" w:w="80"/>
              <w:left w:type="dxa" w:w="140"/>
              <w:bottom w:type="dxa" w:w="80"/>
              <w:right w:type="dxa" w:w="140"/>
            </w:tcMar>
          </w:tcPr>
          <w:p>
            <w:r>
              <w:rPr>
                <w:rFonts w:ascii="Arial" w:cs="Arial" w:eastAsia="Arial" w:hAnsi="Arial"/>
                <w:sz w:val="20"/>
                <w:szCs w:val="20"/>
              </w:rPr>
              <w:t xml:space="preserve">6.9%</w:t>
            </w:r>
          </w:p>
        </w:tc>
      </w:tr>
    </w:tbl>
    <w:p>
      <w:pPr>
        <w:spacing w:before="120" w:after="120"/>
      </w:pPr>
      <w:r>
        <w:t xml:space="preserve"/>
      </w:r>
    </w:p>
    <w:p>
      <w:pPr>
        <w:spacing w:before="80" w:after="80"/>
      </w:pPr>
      <w:r>
        <w:rPr>
          <w:rFonts w:ascii="Arial" w:cs="Arial" w:eastAsia="Arial" w:hAnsi="Arial"/>
          <w:color w:val="1A5A3A"/>
          <w:sz w:val="22"/>
          <w:szCs w:val="22"/>
        </w:rPr>
        <w:t xml:space="preserve">Nhận xét: AUDJPYm chỉ có DD 2.9% — thấp nhất trong toàn bộ FX pairs. Carry differential giữ drawdown thấp một cách tự nhiên.</w:t>
      </w:r>
    </w:p>
    <w:p>
      <w:pPr>
        <w:spacing w:before="120" w:after="120"/>
      </w:pPr>
      <w:r>
        <w:t xml:space="preserve"/>
      </w:r>
    </w:p>
    <w:p>
      <w:pPr>
        <w:pStyle w:val="Heading1"/>
        <w:pBdr>
          <w:bottom w:val="single" w:color="00AACC" w:sz="6" w:space="1"/>
        </w:pBdr>
        <w:spacing w:before="360" w:after="160"/>
      </w:pPr>
      <w:r>
        <w:rPr>
          <w:rFonts w:ascii="Arial" w:cs="Arial" w:eastAsia="Arial" w:hAnsi="Arial"/>
          <w:b/>
          <w:bCs/>
          <w:color w:val="1A3A5A"/>
          <w:sz w:val="32"/>
          <w:szCs w:val="32"/>
        </w:rPr>
        <w:t xml:space="preserve">7. KEY INSIGHTS</w:t>
      </w:r>
    </w:p>
    <w:p>
      <w:pPr>
        <w:spacing w:before="120" w:after="120"/>
      </w:pPr>
      <w:r>
        <w:t xml:space="preserve"/>
      </w:r>
    </w:p>
    <w:p>
      <w:pPr>
        <w:spacing w:before="200" w:after="80"/>
      </w:pPr>
      <w:r>
        <w:rPr>
          <w:rFonts w:ascii="Arial" w:cs="Arial" w:eastAsia="Arial" w:hAnsi="Arial"/>
          <w:b/>
          <w:bCs/>
          <w:color w:val="2A2A2A"/>
          <w:sz w:val="24"/>
          <w:szCs w:val="24"/>
        </w:rPr>
        <w:t xml:space="preserve">"Nhàn nhỉ"</w:t>
      </w:r>
    </w:p>
    <w:p>
      <w:pPr>
        <w:spacing w:before="80" w:after="80"/>
      </w:pPr>
      <w:r>
        <w:rPr>
          <w:rFonts w:ascii="Arial" w:cs="Arial" w:eastAsia="Arial" w:hAnsi="Arial"/>
          <w:sz w:val="22"/>
          <w:szCs w:val="22"/>
        </w:rPr>
        <w:t xml:space="preserve">Carry trade đúng nghĩa = vào lệnh → để market và swap làm việc. Không cần dán mắt vào màn hình. Không cần căng thẳng mỗi pip.</w:t>
      </w:r>
    </w:p>
    <w:p>
      <w:pPr>
        <w:spacing w:before="120" w:after="120"/>
      </w:pPr>
      <w:r>
        <w:t xml:space="preserve"/>
      </w:r>
    </w:p>
    <w:p>
      <w:pPr>
        <w:spacing w:before="200" w:after="80"/>
      </w:pPr>
      <w:r>
        <w:rPr>
          <w:rFonts w:ascii="Arial" w:cs="Arial" w:eastAsia="Arial" w:hAnsi="Arial"/>
          <w:b/>
          <w:bCs/>
          <w:color w:val="2A2A2A"/>
          <w:sz w:val="24"/>
          <w:szCs w:val="24"/>
        </w:rPr>
        <w:t xml:space="preserve">System không biết carry trade — nhưng tự lọc ra carry trades</w:t>
      </w:r>
    </w:p>
    <w:p>
      <w:pPr>
        <w:spacing w:before="80" w:after="80"/>
      </w:pPr>
      <w:r>
        <w:rPr>
          <w:rFonts w:ascii="Arial" w:cs="Arial" w:eastAsia="Arial" w:hAnsi="Arial"/>
          <w:sz w:val="22"/>
          <w:szCs w:val="22"/>
        </w:rPr>
        <w:t xml:space="preserve">TPO obligations detect institutional flow. Tổ chức deploy vốn theo rate differential. Nên kết quả tự nhiên là toàn carry pairs align. Đây là proof framework đúng từ bản chất.</w:t>
      </w:r>
    </w:p>
    <w:p>
      <w:pPr>
        <w:spacing w:before="120" w:after="120"/>
      </w:pPr>
      <w:r>
        <w:t xml:space="preserve"/>
      </w:r>
    </w:p>
    <w:p>
      <w:pPr>
        <w:spacing w:before="200" w:after="80"/>
      </w:pPr>
      <w:r>
        <w:rPr>
          <w:rFonts w:ascii="Arial" w:cs="Arial" w:eastAsia="Arial" w:hAnsi="Arial"/>
          <w:b/>
          <w:bCs/>
          <w:color w:val="2A2A2A"/>
          <w:sz w:val="24"/>
          <w:szCs w:val="24"/>
        </w:rPr>
        <w:t xml:space="preserve">Khi 4 layers align → size lớn được</w:t>
      </w:r>
    </w:p>
    <w:p>
      <w:pPr>
        <w:spacing w:before="80" w:after="80"/>
      </w:pPr>
      <w:r>
        <w:rPr>
          <w:rFonts w:ascii="Arial" w:cs="Arial" w:eastAsia="Arial" w:hAnsi="Arial"/>
          <w:sz w:val="22"/>
          <w:szCs w:val="22"/>
        </w:rPr>
        <w:t xml:space="preserve">Không phải lúc nào cũng có cơ hội 4 layers đồng thời align. Khi có → đây là lúc duy nhất nên size lớn. Risk/reward asymmetry cực cao.</w:t>
      </w:r>
    </w:p>
    <w:p>
      <w:pPr>
        <w:spacing w:before="120" w:after="120"/>
      </w:pPr>
      <w:r>
        <w:t xml:space="preserve"/>
      </w:r>
    </w:p>
    <w:p>
      <w:pPr>
        <w:spacing w:before="200" w:after="80"/>
      </w:pPr>
      <w:r>
        <w:rPr>
          <w:rFonts w:ascii="Arial" w:cs="Arial" w:eastAsia="Arial" w:hAnsi="Arial"/>
          <w:b/>
          <w:bCs/>
          <w:color w:val="2A2A2A"/>
          <w:sz w:val="24"/>
          <w:szCs w:val="24"/>
        </w:rPr>
        <w:t xml:space="preserve">Carry là floor — price move là bonus</w:t>
      </w:r>
    </w:p>
    <w:p>
      <w:pPr>
        <w:spacing w:before="80" w:after="80"/>
      </w:pPr>
      <w:r>
        <w:rPr>
          <w:rFonts w:ascii="Arial" w:cs="Arial" w:eastAsia="Arial" w:hAnsi="Arial"/>
          <w:sz w:val="22"/>
          <w:szCs w:val="22"/>
        </w:rPr>
        <w:t xml:space="preserve">Worst case giá không đi đâu → vẫn ăn swap mỗi ngày. Best case giá di chuyển theo thesis → double income stream.</w:t>
      </w:r>
    </w:p>
    <w:p>
      <w:pPr>
        <w:spacing w:before="120" w:after="120"/>
      </w:pPr>
      <w:r>
        <w:t xml:space="preserve"/>
      </w:r>
    </w:p>
    <w:p>
      <w:pPr>
        <w:pBdr>
          <w:top w:val="single" w:color="CCCCCC" w:sz="2" w:space="1"/>
        </w:pBdr>
        <w:spacing w:before="480" w:after="0"/>
        <w:jc w:val="center"/>
      </w:pPr>
      <w:r>
        <w:rPr>
          <w:rFonts w:ascii="Arial" w:cs="Arial" w:eastAsia="Arial" w:hAnsi="Arial"/>
          <w:i/>
          <w:iCs/>
          <w:color w:val="999999"/>
          <w:sz w:val="18"/>
          <w:szCs w:val="18"/>
        </w:rPr>
        <w:t xml:space="preserve">Market Regime Scanner — Personal Trading Notes — 02/2026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A5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5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2026-02-24T04:23:27.482Z</dcterms:created>
  <dcterms:modified xsi:type="dcterms:W3CDTF">2026-02-24T04:23:27.483Z</dcterms:modified>
</cp:coreProperties>
</file>

<file path=docProps/custom.xml><?xml version="1.0" encoding="utf-8"?>
<Properties xmlns="http://schemas.openxmlformats.org/officeDocument/2006/custom-properties" xmlns:vt="http://schemas.openxmlformats.org/officeDocument/2006/docPropsVTypes"/>
</file>