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DFCE" w14:textId="77777777" w:rsid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b/>
          <w:bCs/>
          <w:kern w:val="0"/>
          <w14:ligatures w14:val="none"/>
        </w:rPr>
        <w:t>Logistic Regression</w:t>
      </w:r>
      <w:r w:rsidRPr="00817425">
        <w:rPr>
          <w:rFonts w:ascii="Times New Roman" w:eastAsia="Times New Roman" w:hAnsi="Times New Roman" w:cs="Times New Roman"/>
          <w:kern w:val="0"/>
          <w14:ligatures w14:val="none"/>
        </w:rPr>
        <w:br/>
        <w:t>The logistic regression model initially achieved a high accuracy of approximately 95% when using the default classification threshold of 0.5. However, the model classified nearly all donors as non-responders. After lowering the classification threshold to 0.05, the model identified a substantially larger number of responding donors. This adjustment reduced overall accuracy to about 56.8% but improved the model’s ability to detect responders. The model produced an AUC of approximately 0.60.</w:t>
      </w:r>
    </w:p>
    <w:p w14:paraId="3D78FDAA" w14:textId="3798FD8C" w:rsidR="002E61BA"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0343A4D4" wp14:editId="2991761F">
            <wp:extent cx="3338286" cy="1794685"/>
            <wp:effectExtent l="0" t="0" r="1905" b="0"/>
            <wp:docPr id="2079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131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95370" cy="1825374"/>
                    </a:xfrm>
                    <a:prstGeom prst="rect">
                      <a:avLst/>
                    </a:prstGeom>
                  </pic:spPr>
                </pic:pic>
              </a:graphicData>
            </a:graphic>
          </wp:inline>
        </w:drawing>
      </w:r>
    </w:p>
    <w:p w14:paraId="6F189488" w14:textId="6AE039E1" w:rsidR="002E61BA" w:rsidRPr="00817425"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37196573" wp14:editId="3A6E03B8">
            <wp:extent cx="3621314" cy="2088059"/>
            <wp:effectExtent l="0" t="0" r="0" b="0"/>
            <wp:docPr id="1758028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28594"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71930" cy="2117244"/>
                    </a:xfrm>
                    <a:prstGeom prst="rect">
                      <a:avLst/>
                    </a:prstGeom>
                  </pic:spPr>
                </pic:pic>
              </a:graphicData>
            </a:graphic>
          </wp:inline>
        </w:drawing>
      </w:r>
    </w:p>
    <w:p w14:paraId="3E0BC890" w14:textId="77777777" w:rsid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b/>
          <w:bCs/>
          <w:kern w:val="0"/>
          <w14:ligatures w14:val="none"/>
        </w:rPr>
        <w:t>Linear Discriminant Analysis (LDA)</w:t>
      </w:r>
      <w:r w:rsidRPr="00817425">
        <w:rPr>
          <w:rFonts w:ascii="Times New Roman" w:eastAsia="Times New Roman" w:hAnsi="Times New Roman" w:cs="Times New Roman"/>
          <w:kern w:val="0"/>
          <w14:ligatures w14:val="none"/>
        </w:rPr>
        <w:br/>
        <w:t>Using the default classification rule, the LDA model predicted almost all observations as non-responders, resulting in an accuracy of approximately 94.9%. When the classification threshold was lowered to 0.05, the model identified 775 true positives and showed improved sensitivity. Overall accuracy decreased to roughly 60.2%. The model achieved an AUC of approximately 0.596. Warnings related to multicollinearity among predictors were observed during model fitting.</w:t>
      </w:r>
    </w:p>
    <w:p w14:paraId="2F76E08D" w14:textId="7BB28627" w:rsidR="002E61BA"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0AD17A76" wp14:editId="47198E1F">
            <wp:extent cx="4165600" cy="3174935"/>
            <wp:effectExtent l="0" t="0" r="0" b="635"/>
            <wp:docPr id="29212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22102" name="Picture 2921221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04889" cy="3204880"/>
                    </a:xfrm>
                    <a:prstGeom prst="rect">
                      <a:avLst/>
                    </a:prstGeom>
                  </pic:spPr>
                </pic:pic>
              </a:graphicData>
            </a:graphic>
          </wp:inline>
        </w:drawing>
      </w:r>
    </w:p>
    <w:p w14:paraId="525EC2B0" w14:textId="7C1F4E29" w:rsidR="002E61BA" w:rsidRPr="00817425"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580681FD" wp14:editId="05EBEE17">
            <wp:extent cx="4165600" cy="1076558"/>
            <wp:effectExtent l="0" t="0" r="0" b="3175"/>
            <wp:docPr id="106007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7737" name="Picture 1060077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42102" cy="1096329"/>
                    </a:xfrm>
                    <a:prstGeom prst="rect">
                      <a:avLst/>
                    </a:prstGeom>
                  </pic:spPr>
                </pic:pic>
              </a:graphicData>
            </a:graphic>
          </wp:inline>
        </w:drawing>
      </w:r>
    </w:p>
    <w:p w14:paraId="651A1746" w14:textId="77777777" w:rsid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b/>
          <w:bCs/>
          <w:kern w:val="0"/>
          <w14:ligatures w14:val="none"/>
        </w:rPr>
        <w:t>Quadratic Discriminant Analysis (QDA)</w:t>
      </w:r>
      <w:r w:rsidRPr="00817425">
        <w:rPr>
          <w:rFonts w:ascii="Times New Roman" w:eastAsia="Times New Roman" w:hAnsi="Times New Roman" w:cs="Times New Roman"/>
          <w:kern w:val="0"/>
          <w14:ligatures w14:val="none"/>
        </w:rPr>
        <w:br/>
        <w:t>The QDA model achieved an overall accuracy of approximately 88.0%. Despite this, the model demonstrated weak classification performance, with an AUC of 0.549. Sensitivity was very low, as the model correctly identified fewer than 10% of responding donors. The model required additional preprocessing to address multicollinearity and rank-deficiency issues before estimation.</w:t>
      </w:r>
    </w:p>
    <w:p w14:paraId="560850CF" w14:textId="7E97BEEC" w:rsidR="002E61BA" w:rsidRPr="00817425"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E845135" wp14:editId="4B695179">
            <wp:extent cx="5943600" cy="2186305"/>
            <wp:effectExtent l="0" t="0" r="0" b="0"/>
            <wp:docPr id="84880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784" name="Picture 84880784"/>
                    <pic:cNvPicPr/>
                  </pic:nvPicPr>
                  <pic:blipFill>
                    <a:blip r:embed="rId8">
                      <a:extLst>
                        <a:ext uri="{28A0092B-C50C-407E-A947-70E740481C1C}">
                          <a14:useLocalDpi xmlns:a14="http://schemas.microsoft.com/office/drawing/2010/main" val="0"/>
                        </a:ext>
                      </a:extLst>
                    </a:blip>
                    <a:stretch>
                      <a:fillRect/>
                    </a:stretch>
                  </pic:blipFill>
                  <pic:spPr>
                    <a:xfrm>
                      <a:off x="0" y="0"/>
                      <a:ext cx="5943600" cy="2186305"/>
                    </a:xfrm>
                    <a:prstGeom prst="rect">
                      <a:avLst/>
                    </a:prstGeom>
                  </pic:spPr>
                </pic:pic>
              </a:graphicData>
            </a:graphic>
          </wp:inline>
        </w:drawing>
      </w:r>
    </w:p>
    <w:p w14:paraId="34FBC5E7" w14:textId="77777777" w:rsid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b/>
          <w:bCs/>
          <w:kern w:val="0"/>
          <w14:ligatures w14:val="none"/>
        </w:rPr>
        <w:lastRenderedPageBreak/>
        <w:t>K-Nearest Neighbors (KNN)</w:t>
      </w:r>
      <w:r w:rsidRPr="00817425">
        <w:rPr>
          <w:rFonts w:ascii="Times New Roman" w:eastAsia="Times New Roman" w:hAnsi="Times New Roman" w:cs="Times New Roman"/>
          <w:kern w:val="0"/>
          <w14:ligatures w14:val="none"/>
        </w:rPr>
        <w:br/>
        <w:t>The KNN model reported an accuracy of approximately 94.9%. However, the model classified all observations as non-responders, resulting in zero true positives for donor response.</w:t>
      </w:r>
    </w:p>
    <w:p w14:paraId="56E54629" w14:textId="174BEC51" w:rsidR="002E61BA"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56B5AA81" wp14:editId="6A381E36">
            <wp:extent cx="4316749" cy="4804228"/>
            <wp:effectExtent l="0" t="0" r="1270" b="0"/>
            <wp:docPr id="56847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3637" name="Picture 5684736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51269" cy="4842647"/>
                    </a:xfrm>
                    <a:prstGeom prst="rect">
                      <a:avLst/>
                    </a:prstGeom>
                  </pic:spPr>
                </pic:pic>
              </a:graphicData>
            </a:graphic>
          </wp:inline>
        </w:drawing>
      </w:r>
    </w:p>
    <w:p w14:paraId="1B56CC8E" w14:textId="0EEC6313" w:rsidR="002E61BA" w:rsidRPr="00817425" w:rsidRDefault="002E61BA" w:rsidP="00817425">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DA189AD" wp14:editId="77434196">
            <wp:extent cx="4316730" cy="1111005"/>
            <wp:effectExtent l="0" t="0" r="1270" b="0"/>
            <wp:docPr id="1443245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5791" name="Picture 14432457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0470" cy="1129984"/>
                    </a:xfrm>
                    <a:prstGeom prst="rect">
                      <a:avLst/>
                    </a:prstGeom>
                  </pic:spPr>
                </pic:pic>
              </a:graphicData>
            </a:graphic>
          </wp:inline>
        </w:drawing>
      </w:r>
    </w:p>
    <w:p w14:paraId="39E3F0DB" w14:textId="2383DC40" w:rsidR="00817425" w:rsidRPr="00817425" w:rsidRDefault="00817425" w:rsidP="00817425">
      <w:pPr>
        <w:spacing w:after="0" w:line="240" w:lineRule="auto"/>
        <w:rPr>
          <w:rFonts w:ascii="Times New Roman" w:eastAsia="Times New Roman" w:hAnsi="Times New Roman" w:cs="Times New Roman"/>
          <w:kern w:val="0"/>
          <w14:ligatures w14:val="none"/>
        </w:rPr>
      </w:pPr>
    </w:p>
    <w:p w14:paraId="789BD566" w14:textId="77777777" w:rsidR="00817425" w:rsidRPr="002E61BA" w:rsidRDefault="00817425" w:rsidP="00817425">
      <w:pPr>
        <w:spacing w:before="100" w:beforeAutospacing="1" w:after="100" w:afterAutospacing="1" w:line="240" w:lineRule="auto"/>
        <w:outlineLvl w:val="1"/>
        <w:rPr>
          <w:rFonts w:ascii="Times New Roman" w:eastAsia="Times New Roman" w:hAnsi="Times New Roman" w:cs="Times New Roman"/>
          <w:kern w:val="0"/>
          <w:sz w:val="32"/>
          <w:szCs w:val="32"/>
          <w14:ligatures w14:val="none"/>
        </w:rPr>
      </w:pPr>
      <w:r w:rsidRPr="002E61BA">
        <w:rPr>
          <w:rFonts w:ascii="Times New Roman" w:eastAsia="Times New Roman" w:hAnsi="Times New Roman" w:cs="Times New Roman"/>
          <w:kern w:val="0"/>
          <w:sz w:val="32"/>
          <w:szCs w:val="32"/>
          <w14:ligatures w14:val="none"/>
        </w:rPr>
        <w:t>Interpretation</w:t>
      </w:r>
    </w:p>
    <w:p w14:paraId="0D56B413" w14:textId="77777777" w:rsidR="00817425" w:rsidRP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kern w:val="0"/>
          <w14:ligatures w14:val="none"/>
        </w:rPr>
        <w:t xml:space="preserve">The results across all models highlight the challenges of predicting donor response in the presence of severe class imbalance. High accuracy values were largely driven by the dominance </w:t>
      </w:r>
      <w:r w:rsidRPr="00817425">
        <w:rPr>
          <w:rFonts w:ascii="Times New Roman" w:eastAsia="Times New Roman" w:hAnsi="Times New Roman" w:cs="Times New Roman"/>
          <w:kern w:val="0"/>
          <w14:ligatures w14:val="none"/>
        </w:rPr>
        <w:lastRenderedPageBreak/>
        <w:t>of non-responders in the dataset rather than meaningful predictive performance. As a result, accuracy alone proved to be an unreliable evaluation metric for this task.</w:t>
      </w:r>
    </w:p>
    <w:p w14:paraId="524706B5" w14:textId="77777777" w:rsidR="00817425" w:rsidRP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kern w:val="0"/>
          <w14:ligatures w14:val="none"/>
        </w:rPr>
        <w:t>Lowering the classification threshold for both logistic regression and LDA significantly improved sensitivity, allowing these models to identify more potential responders. Although this change reduced overall accuracy, it increased the practical usefulness of the models for fundraising applications, where identifying likely responders is more important than minimizing false positives.</w:t>
      </w:r>
    </w:p>
    <w:p w14:paraId="09D92460" w14:textId="77777777" w:rsidR="00817425" w:rsidRP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kern w:val="0"/>
          <w14:ligatures w14:val="none"/>
        </w:rPr>
        <w:t>Among the models tested, logistic regression performed slightly better than LDA and QDA based on AUC, though its discriminative ability remained modest. The relatively low AUC values suggest that the available demographic and behavioral predictors do not strongly explain donor response behavior. LDA and QDA appeared particularly sensitive to multicollinearity and violated modeling assumptions, limiting their effectiveness.</w:t>
      </w:r>
    </w:p>
    <w:p w14:paraId="6A552973" w14:textId="77777777" w:rsidR="00817425" w:rsidRP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kern w:val="0"/>
          <w14:ligatures w14:val="none"/>
        </w:rPr>
        <w:t>The KNN model, despite high reported accuracy, failed entirely to detect responding donors and therefore offers no practical value in this context without additional techniques such as resampling or class balancing.</w:t>
      </w:r>
    </w:p>
    <w:p w14:paraId="602411EB" w14:textId="77777777" w:rsidR="00817425" w:rsidRPr="00817425" w:rsidRDefault="00817425" w:rsidP="00817425">
      <w:pPr>
        <w:spacing w:before="100" w:beforeAutospacing="1" w:after="100" w:afterAutospacing="1" w:line="240" w:lineRule="auto"/>
        <w:rPr>
          <w:rFonts w:ascii="Times New Roman" w:eastAsia="Times New Roman" w:hAnsi="Times New Roman" w:cs="Times New Roman"/>
          <w:kern w:val="0"/>
          <w14:ligatures w14:val="none"/>
        </w:rPr>
      </w:pPr>
      <w:r w:rsidRPr="00817425">
        <w:rPr>
          <w:rFonts w:ascii="Times New Roman" w:eastAsia="Times New Roman" w:hAnsi="Times New Roman" w:cs="Times New Roman"/>
          <w:kern w:val="0"/>
          <w14:ligatures w14:val="none"/>
        </w:rPr>
        <w:t>Overall, logistic regression serves as the most reasonable baseline model for this problem, while the findings underscore the importance of using evaluation metrics such as AUC and sensitivity rather than accuracy when working with rare-event prediction problems like donor response modeling.</w:t>
      </w:r>
    </w:p>
    <w:p w14:paraId="5BF30A56" w14:textId="77777777" w:rsidR="00817425" w:rsidRDefault="00817425"/>
    <w:sectPr w:rsidR="00817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DD1"/>
    <w:rsid w:val="00072DD1"/>
    <w:rsid w:val="002E61BA"/>
    <w:rsid w:val="004D350F"/>
    <w:rsid w:val="0052770F"/>
    <w:rsid w:val="007411F8"/>
    <w:rsid w:val="00767473"/>
    <w:rsid w:val="007809DC"/>
    <w:rsid w:val="007C2C12"/>
    <w:rsid w:val="00815926"/>
    <w:rsid w:val="00817425"/>
    <w:rsid w:val="008A3C36"/>
    <w:rsid w:val="00F36660"/>
    <w:rsid w:val="00F51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B3FFF"/>
  <w15:chartTrackingRefBased/>
  <w15:docId w15:val="{B425A6A7-BAEF-D64D-A343-60DB68726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2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DD1"/>
    <w:rPr>
      <w:rFonts w:eastAsiaTheme="majorEastAsia" w:cstheme="majorBidi"/>
      <w:color w:val="272727" w:themeColor="text1" w:themeTint="D8"/>
    </w:rPr>
  </w:style>
  <w:style w:type="paragraph" w:styleId="Title">
    <w:name w:val="Title"/>
    <w:basedOn w:val="Normal"/>
    <w:next w:val="Normal"/>
    <w:link w:val="TitleChar"/>
    <w:uiPriority w:val="10"/>
    <w:qFormat/>
    <w:rsid w:val="00072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DD1"/>
    <w:pPr>
      <w:spacing w:before="160"/>
      <w:jc w:val="center"/>
    </w:pPr>
    <w:rPr>
      <w:i/>
      <w:iCs/>
      <w:color w:val="404040" w:themeColor="text1" w:themeTint="BF"/>
    </w:rPr>
  </w:style>
  <w:style w:type="character" w:customStyle="1" w:styleId="QuoteChar">
    <w:name w:val="Quote Char"/>
    <w:basedOn w:val="DefaultParagraphFont"/>
    <w:link w:val="Quote"/>
    <w:uiPriority w:val="29"/>
    <w:rsid w:val="00072DD1"/>
    <w:rPr>
      <w:i/>
      <w:iCs/>
      <w:color w:val="404040" w:themeColor="text1" w:themeTint="BF"/>
    </w:rPr>
  </w:style>
  <w:style w:type="paragraph" w:styleId="ListParagraph">
    <w:name w:val="List Paragraph"/>
    <w:basedOn w:val="Normal"/>
    <w:uiPriority w:val="34"/>
    <w:qFormat/>
    <w:rsid w:val="00072DD1"/>
    <w:pPr>
      <w:ind w:left="720"/>
      <w:contextualSpacing/>
    </w:pPr>
  </w:style>
  <w:style w:type="character" w:styleId="IntenseEmphasis">
    <w:name w:val="Intense Emphasis"/>
    <w:basedOn w:val="DefaultParagraphFont"/>
    <w:uiPriority w:val="21"/>
    <w:qFormat/>
    <w:rsid w:val="00072DD1"/>
    <w:rPr>
      <w:i/>
      <w:iCs/>
      <w:color w:val="0F4761" w:themeColor="accent1" w:themeShade="BF"/>
    </w:rPr>
  </w:style>
  <w:style w:type="paragraph" w:styleId="IntenseQuote">
    <w:name w:val="Intense Quote"/>
    <w:basedOn w:val="Normal"/>
    <w:next w:val="Normal"/>
    <w:link w:val="IntenseQuoteChar"/>
    <w:uiPriority w:val="30"/>
    <w:qFormat/>
    <w:rsid w:val="00072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DD1"/>
    <w:rPr>
      <w:i/>
      <w:iCs/>
      <w:color w:val="0F4761" w:themeColor="accent1" w:themeShade="BF"/>
    </w:rPr>
  </w:style>
  <w:style w:type="character" w:styleId="IntenseReference">
    <w:name w:val="Intense Reference"/>
    <w:basedOn w:val="DefaultParagraphFont"/>
    <w:uiPriority w:val="32"/>
    <w:qFormat/>
    <w:rsid w:val="00072DD1"/>
    <w:rPr>
      <w:b/>
      <w:bCs/>
      <w:smallCaps/>
      <w:color w:val="0F4761" w:themeColor="accent1" w:themeShade="BF"/>
      <w:spacing w:val="5"/>
    </w:rPr>
  </w:style>
  <w:style w:type="paragraph" w:styleId="NormalWeb">
    <w:name w:val="Normal (Web)"/>
    <w:basedOn w:val="Normal"/>
    <w:uiPriority w:val="99"/>
    <w:semiHidden/>
    <w:unhideWhenUsed/>
    <w:rsid w:val="00072D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2D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T.</dc:creator>
  <cp:keywords/>
  <dc:description/>
  <cp:lastModifiedBy>Nguyen, Duy T.</cp:lastModifiedBy>
  <cp:revision>5</cp:revision>
  <dcterms:created xsi:type="dcterms:W3CDTF">2026-01-29T18:44:00Z</dcterms:created>
  <dcterms:modified xsi:type="dcterms:W3CDTF">2026-02-02T20:09:00Z</dcterms:modified>
</cp:coreProperties>
</file>