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Validating Human-Governed AI-Agent Methods for Educational Evidence Synthesis</w:t>
      </w:r>
    </w:p>
    <w:p>
      <w:pPr>
        <w:pStyle w:val="DraftNote"/>
        <w:jc w:val="center"/>
      </w:pPr>
      <w:r>
        <w:t>Target: AERA 2027 Division D—Measurement and Research Methodologies | Preferred format: Roundtable</w:t>
      </w:r>
    </w:p>
    <w:p>
      <w:pPr>
        <w:pStyle w:val="DraftNote"/>
        <w:jc w:val="center"/>
      </w:pPr>
      <w:r>
        <w:t>Title: 8 words | Abstract: 101 words | Main narrative: 1959 words</w:t>
      </w:r>
    </w:p>
    <w:p>
      <w:pPr>
        <w:pStyle w:val="DraftNote"/>
        <w:jc w:val="center"/>
      </w:pPr>
      <w:r>
        <w:rPr>
          <w:b/>
        </w:rPr>
        <w:t>Draft note: Replace every yellow-highlighted placeholder before submission.</w:t>
      </w:r>
    </w:p>
    <w:p>
      <w:pPr>
        <w:pStyle w:val="Heading1"/>
      </w:pPr>
      <w:r>
        <w:t>Abstract</w:t>
      </w:r>
    </w:p>
    <w:p>
      <w:pPr>
        <w:ind w:firstLine="0"/>
        <w:jc w:val="both"/>
      </w:pPr>
      <w:r>
        <w:rPr>
          <w:b w:val="0"/>
        </w:rPr>
        <w:t>This preliminary methodological study evaluates a human-governed, multi-agent workflow for educational evidence synthesis. A method-agnostic core supports protocol-driven retrieval, screening, evidence extraction, provenance, citation checking, and audit logs; a realist-synthesis plugin extracts context-mechanism-outcome configurations and supports programme-theory refinement. The workflow is benchmarked against Richmond et al.'s (2020) human-authored realist review and its 28 included studies. The pilot generated a structured evidence file and 91 candidate configurations. After human review, comparison indicates strong concept recovery (43 of 47; 91.5%) and causal-pattern recovery (39 of 40; 97.5%), high citation grounding (96.9%), and limited exact configuration agreement (0 of 40 automatically, 15 of 40 after normalization); contradiction and demi-regularity detection are operational (14 and 36). Findings identify where AI can assist review work and where expert adjudication remains necessary.</w:t>
      </w:r>
      <w:r>
        <w:rPr>
          <w:b/>
        </w:rPr>
      </w:r>
      <w:r/>
    </w:p>
    <w:p>
      <w:pPr>
        <w:spacing w:before="80"/>
      </w:pPr>
      <w:r>
        <w:rPr>
          <w:b/>
        </w:rPr>
        <w:t xml:space="preserve">Keywords: </w:t>
      </w:r>
      <w:r>
        <w:t>research methodology; systematic review; realist synthesis; AI-assisted research methods; evidence synthesis; validity; human-in-the-loop; research transparency</w:t>
      </w:r>
    </w:p>
    <w:p>
      <w:r/>
    </w:p>
    <w:p>
      <w:pPr>
        <w:pStyle w:val="Heading1"/>
      </w:pPr>
      <w:r>
        <w:t>Purpose</w:t>
      </w:r>
    </w:p>
    <w:p>
      <w:pPr>
        <w:ind w:firstLine="432"/>
        <w:jc w:val="both"/>
      </w:pPr>
      <w:r>
        <w:t>Educational researchers face an expanding and increasingly heterogeneous evidence base. Conventional systematic reviews provide explicit protocols and accountable synthesis, but they remain labor-intensive and difficult to update. Machine-learning tools can accelerate selected tasks, especially title-and-abstract screening, yet automation does not by itself establish validity, traceability, or interpretive adequacy (Marshall &amp; Wallace, 2019; van de Schoot et al., 2021). These concerns are particularly important in education, where intervention effects often depend on population, setting, institutional conditions, implementation, and cultural context.</w:t>
      </w:r>
    </w:p>
    <w:p>
      <w:pPr>
        <w:ind w:firstLine="432"/>
        <w:jc w:val="both"/>
      </w:pPr>
      <w:r>
        <w:t>This paper presents a preliminary design-and-validation study of a human-governed AI-agent workflow for educational evidence synthesis. Its contribution is methodological rather than a substantive judgment about which pedagogy works. The study asks: (a) which review tasks can AI agents perform with acceptable accuracy and traceability; (b) where do agent outputs diverge from a human-created benchmark; and (c) which forms of expert adjudication remain necessary? The framework does not position AI as a replacement for reviewers. It treats AI outputs as provisional research artifacts whose validity depends on protocol alignment, source provenance, benchmark comparison, and human judgment.</w:t>
      </w:r>
    </w:p>
    <w:p>
      <w:pPr>
        <w:ind w:firstLine="432"/>
        <w:jc w:val="both"/>
      </w:pPr>
      <w:r>
        <w:t>Prior automation research demonstrates that machine learning can reduce screening burden and improve prioritization, particularly when reviewers remain in the loop (Marshall &amp; Wallace, 2019; van de Schoot et al., 2021). However, screening is only one part of evidence synthesis. Educational reviews also require interpretation of constructs, reconciliation of heterogeneous methods, attention to context, and justification of claims. A pipeline that accelerates document handling but obscures why evidence was included, how a construct was coded, or which passage supports a conclusion may increase throughput while weakening methodological accountability. The present pilot therefore evaluates the complete evidence chain rather than model fluency or summary quality alone.</w:t>
      </w:r>
    </w:p>
    <w:p>
      <w:pPr>
        <w:pStyle w:val="Heading1"/>
      </w:pPr>
      <w:r>
        <w:t>Theoretical and Methodological Framework</w:t>
      </w:r>
    </w:p>
    <w:p>
      <w:pPr>
        <w:ind w:firstLine="432"/>
        <w:jc w:val="both"/>
      </w:pPr>
      <w:r>
        <w:t>Systematic-review validity depends on a defensible chain connecting the review question, search, eligibility decisions, extraction, synthesis, and conclusions. PRISMA 2020 emphasizes transparent reporting of study identification, selection, appraisal, and synthesis (Page et al., 2021). Realist synthesis adds a theory-driven objective: explaining what works, for whom, in what circumstances, through which mechanisms, and why (Pawson et al., 2005). Rather than estimating only an average effect, realist synthesis develops and refines programme theories through context-mechanism-outcome configurations (CMOCs), contradictory cases, and recurring patterns. RAMESES standards consequently require reviewers to make interpretive procedures and evidence links visible (Wong et al., 2013).</w:t>
      </w:r>
    </w:p>
    <w:p>
      <w:pPr>
        <w:ind w:firstLine="432"/>
        <w:jc w:val="both"/>
      </w:pPr>
      <w:r>
        <w:t>The proposed framework translates these principles into five design commitments: protocol control, evidence provenance, auditable decisions, method-specific representations, and human authority. Validity is treated as an argument supported by multiple forms of evidence, not as a single accuracy score (American Educational Research Association et al., 2014). Screening precision and recall are necessary but insufficient; a valid synthesis must also preserve source meaning, represent context, identify unsupported claims, and distinguish evidence from interpretation.</w:t>
      </w:r>
    </w:p>
    <w:p>
      <w:pPr>
        <w:pStyle w:val="Heading1"/>
      </w:pPr>
      <w:r>
        <w:t>Method and System Design</w:t>
      </w:r>
    </w:p>
    <w:p>
      <w:pPr>
        <w:ind w:firstLine="432"/>
        <w:jc w:val="both"/>
      </w:pPr>
      <w:r>
        <w:t>The workflow uses a core-and-plugin architecture. The method-agnostic core manages review functions shared across synthesis traditions: protocol registration; search-string and database documentation; deduplication; title-and-abstract screening; full-text eligibility assessment; structured extraction; citation verification; versioned decision logs; human adjudication; and exportable evidence tables. Each agent receives a bounded task, required input schema, decision rules, and structured output schema. Agent actions are recorded with source identifiers, retrieved passages, decision rationales, confidence indicators, and revision history.</w:t>
      </w:r>
    </w:p>
    <w:p>
      <w:pPr>
        <w:ind w:firstLine="432"/>
        <w:jc w:val="both"/>
      </w:pPr>
      <w:r>
        <w:t>A Literature Knowledge Graph organizes studies, populations, settings, interventions, outcomes, theoretical constructs, and evidence relations. Retrieval-augmented generation links model outputs to external evidence rather than relying only on parametric memory (Lewis et al., 2020). Graph-based retrieval is added because corpus-level synthesis requires connected evidence and global patterns that may not be recoverable through isolated passage retrieval (Edge et al., 2024). The graph is therefore an auditable research representation, not an independent source of truth: every node and relation must retain a traceable link to the source text.</w:t>
      </w:r>
    </w:p>
    <w:p>
      <w:pPr>
        <w:ind w:firstLine="432"/>
        <w:jc w:val="both"/>
      </w:pPr>
      <w:r>
        <w:t>Method-specific plugins define the outputs and reasoning rules required by a review tradition. The realist-synthesis plugin extracts candidate contexts, mechanisms, outcomes, and CMOCs; groups related configurations; surfaces apparent contradictions; searches for demi-regularities; and supports iterative programme-theory refinement. Researchers can merge, split, rename, reject, or recode constructs while preserving the original machine output and the adjudication record.</w:t>
      </w:r>
    </w:p>
    <w:p>
      <w:pPr>
        <w:ind w:firstLine="432"/>
        <w:jc w:val="both"/>
      </w:pPr>
      <w:r>
        <w:t>The core workflow is organized as a directed, stateful process rather than an unrestricted conversation among agents. A coordinator passes validated artifacts from one stage to the next and prevents downstream processing when required fields, source passages, or confidence thresholds are missing. Specialized roles include retrieval, deduplication, screening, full-text eligibility, extraction, graph construction, contradiction checking, synthesis, citation verification, and audit reporting. The state record preserves the protocol version, model and prompt version, source file, timestamp, agent output, human decision, and reason for revision. This structure supports reproducibility and enables researchers to isolate whether an error originated in retrieval, screening, extraction, graph consolidation, or synthesis.</w:t>
      </w:r>
    </w:p>
    <w:p>
      <w:pPr>
        <w:ind w:firstLine="432"/>
        <w:jc w:val="both"/>
      </w:pPr>
      <w:r>
        <w:t>The plugin boundary is important methodologically. Tasks such as deduplication and citation checking can be shared, but evidence structures cannot be assumed to be universal. A thematic-synthesis plugin would require descriptive and analytic themes; a meta-ethnographic plugin would require translated concepts and lines of argument; the realist plugin requires CMOCs, programme theories, contradictions, and demi-regularities. Encoding these distinctions prevents a general-purpose language model from silently substituting generic summaries for methodologically required products.</w:t>
      </w:r>
    </w:p>
    <w:p>
      <w:pPr>
        <w:pStyle w:val="Heading1"/>
      </w:pPr>
      <w:r>
        <w:t>Benchmark and Validation Approach</w:t>
      </w:r>
    </w:p>
    <w:p>
      <w:pPr>
        <w:ind w:firstLine="432"/>
        <w:jc w:val="both"/>
      </w:pPr>
      <w:r>
        <w:t>The pilot uses Richmond et al.’s (2020) realist review of educational interventions for developing analytical and non-analytical clinical reasoning as a human-created benchmark. The published review included 28 studies and provides a bounded test of whether the AI-assisted workflow can reproduce or meaningfully approximate human screening, CMOC development, and programme-theory synthesis.</w:t>
      </w:r>
    </w:p>
    <w:p>
      <w:pPr>
        <w:ind w:firstLine="432"/>
        <w:jc w:val="both"/>
      </w:pPr>
      <w:r>
        <w:t>Validation is conducted at task, relationship, and synthesis levels. Retrieval and screening are assessed through recovery of benchmark papers, inclusion/exclusion agreement, precision, recall, and reasons for disagreement. Extraction is evaluated by matching AI-generated evidence records to source passages and comparing candidate CMOCs with benchmark contexts, mechanisms, outcomes, and relationships. Each configuration is classified as supported, partially supported, unsupported, missing, or interpretively different. Synthesis-level comparison examines contradiction detection, recurring patterns, programme-theory correspondence, interpretive depth, and sensitivity to population and context. Citation faithfulness is assessed by checking whether each claim is entailed by its cited passage.</w:t>
      </w:r>
    </w:p>
    <w:p>
      <w:pPr>
        <w:ind w:firstLine="432"/>
        <w:jc w:val="both"/>
      </w:pPr>
      <w:r>
        <w:t>The study retains both exact-match and conceptually aligned comparisons. Exact matching provides a conservative reproducibility test, whereas relationship-level adjudication recognizes that legitimate realist interpretations may use different wording or granularity. Disagreement is not automatically treated as an AI error: reviewers examine whether the benchmark omitted a supported relationship, whether the agent overgeneralized evidence, or whether both interpretations are plausible.</w:t>
      </w:r>
    </w:p>
    <w:p>
      <w:pPr>
        <w:ind w:firstLine="432"/>
        <w:jc w:val="both"/>
      </w:pPr>
      <w:r>
        <w:t>Performance is also evaluated cumulatively. For example, high conditional extraction accuracy among retrieved papers may coexist with poor corpus-level validity when screening recall is low. Accordingly, the evaluation reports both stage-specific performance and end-to-end coverage. Error propagation is traced by linking each missing or unsupported synthesis claim to the earliest failed stage. Human effort is recorded for screening adjudication, evidence verification, construct consolidation, and programme-theory review so that efficiency claims can be assessed against the full cost of correction rather than model runtime alone.</w:t>
      </w:r>
    </w:p>
    <w:p>
      <w:pPr>
        <w:pStyle w:val="Heading1"/>
      </w:pPr>
      <w:r>
        <w:t>Preliminary Findings</w:t>
      </w:r>
    </w:p>
    <w:p>
      <w:pPr>
        <w:ind w:firstLine="432"/>
        <w:jc w:val="both"/>
      </w:pPr>
      <w:r>
        <w:rPr>
          <w:b w:val="0"/>
        </w:rPr>
        <w:t>The pilot generated a structured evidence file and 91 candidate CMOCs across the benchmark corpus. The initial pipeline does not yet reproduce the human review exactly. Automatic screening missed two of the 28 benchmark papers (both recovered on human review), and only a small subset of configurations matched all benchmark fields exactly at the concept level. Context coverage was narrower than the benchmark, and the contradiction-detection and demi-regularity functions, previously incomplete, are now operational.</w:t>
      </w:r>
    </w:p>
    <w:p>
      <w:pPr>
        <w:ind w:firstLine="0"/>
        <w:jc w:val="both"/>
      </w:pPr>
      <w:r>
        <w:rPr>
          <w:b w:val="0"/>
        </w:rPr>
        <w:t>Of the 28 benchmark papers (all benchmark includes), the automatic screener included 26 (recall 92.9%); the two uncertain papers were confirmed on human review, giving 100% recall (28/28). Because every corpus paper is a benchmark include, precision on this set is not informative; false-positive behavior is assessed separately with a distractor pool.</w:t>
      </w:r>
    </w:p>
    <w:p>
      <w:pPr>
        <w:ind w:firstLine="0"/>
        <w:jc w:val="both"/>
      </w:pPr>
      <w:r>
        <w:rPr>
          <w:b w:val="0"/>
        </w:rPr>
        <w:t>The pipeline retained 91 candidate configurations. Concept agreement: 37 of 47 exact at the same realist role (78.7%), a further 6 conceptually aligned under a different role (43/47, 91.5% total), and 4 missing. Relation agreement: 0 of 40 exact automatically, rising to 15 of 40 (38%) after normalization to Richmond concept granularity; 39 of 40 recovered at the causal-pattern level (97.5%).</w:t>
      </w:r>
    </w:p>
    <w:p>
      <w:pPr>
        <w:ind w:firstLine="0"/>
        <w:jc w:val="both"/>
      </w:pPr>
      <w:r>
        <w:rPr>
          <w:b w:val="0"/>
        </w:rPr>
        <w:t>Citation faithfulness was 96.9% (501 of 517 items resolved to an exact source span). The synthesis stage detected 14 contradiction cases and 36 demi-regularities. Programme-theory correspondence averaged 0.54 (model-judged; strongest chain 0.89) and awaits independent expert rating.</w:t>
      </w:r>
    </w:p>
    <w:p>
      <w:pPr>
        <w:ind w:firstLine="432"/>
        <w:jc w:val="both"/>
      </w:pPr>
      <w:r>
        <w:t>The emerging pattern is methodological rather than celebratory: structured agents can generate review artifacts at useful scale, but error is distributed across the workflow. Early screening errors remove evidence from every downstream stage; extraction errors may conflate context with mechanism or infer relationships beyond the cited passage; graph consolidation may merge distinct constructs; and synthesis agents may produce coherent narratives from incomplete evidence. These findings support checkpoint-based human governance rather than end-stage proofreading.</w:t>
      </w:r>
    </w:p>
    <w:p>
      <w:pPr>
        <w:pStyle w:val="Heading1"/>
      </w:pPr>
      <w:r>
        <w:t>Human Governance and Research Integrity</w:t>
      </w:r>
    </w:p>
    <w:p>
      <w:pPr>
        <w:ind w:firstLine="432"/>
        <w:jc w:val="both"/>
      </w:pPr>
      <w:r>
        <w:t>Human reviewers retain authority over the protocol, search boundaries, ambiguous eligibility decisions, construct definitions, CMOC adjudication, contradiction interpretation, programme-theory construction, and final conclusions. Four checkpoints are mandatory: approval of the search and eligibility protocol; adjudication of uncertain screening decisions; validation of evidence-to-configuration links; and approval of synthesized claims. The workflow stores rejected and revised outputs so that corrections remain visible rather than being overwritten.</w:t>
      </w:r>
    </w:p>
    <w:p>
      <w:pPr>
        <w:ind w:firstLine="432"/>
        <w:jc w:val="both"/>
      </w:pPr>
      <w:r>
        <w:t>This approach also constrains inappropriate delegation. Agents may prioritize records, extract candidate structures, identify inconsistencies, and assemble traceable evidence displays. They should not independently determine the review question, redefine eligibility criteria after seeing results, resolve theoretical disagreements, or certify final claims. The system is evaluated as a research instrument whose outputs require calibration and validity evidence, not as an autonomous scholarly author.</w:t>
      </w:r>
    </w:p>
    <w:p>
      <w:pPr>
        <w:ind w:firstLine="432"/>
        <w:jc w:val="both"/>
      </w:pPr>
      <w:r>
        <w:t>The adjudication process uses explicit dispositions: accept, accept with revision, reject as unsupported, defer pending additional evidence, or classify as a defensible alternative interpretation. Reviewers document the supporting passage and rationale for each disposition. This produces training and calibration material for later iterations while preserving disagreement as data. Where cultural, institutional, or population context may change interpretation, the reviewer must confirm that the source supports the contextual inference and that the synthesis does not convert absence of evidence into evidence of absence.</w:t>
      </w:r>
    </w:p>
    <w:p>
      <w:pPr>
        <w:pStyle w:val="Heading1"/>
      </w:pPr>
      <w:r>
        <w:t>Significance</w:t>
      </w:r>
    </w:p>
    <w:p>
      <w:pPr>
        <w:ind w:firstLine="432"/>
        <w:jc w:val="both"/>
      </w:pPr>
      <w:r>
        <w:t>The framework contributes to measurement and research methodology in four ways. First, it makes AI-assisted review decisions inspectable through protocol-linked logs and evidence paths. Second, it separates a reusable review core from method-specific plugins, allowing the same governance infrastructure to be evaluated across synthesis traditions. Third, it converts AI failure into analyzable methodological evidence through an error taxonomy and adjudication records. Fourth, it offers a basis for studying the validity, reliability, and transferability of AI-assisted evidence synthesis rather than assuming efficiency implies quality.</w:t>
      </w:r>
    </w:p>
    <w:p>
      <w:pPr>
        <w:ind w:firstLine="432"/>
        <w:jc w:val="both"/>
      </w:pPr>
      <w:r>
        <w:t>For educational research, the practical value is a scalable but accountable workflow for complex questions involving heterogeneous populations and contexts. The proposed artifacts—protocols, screening records, evidence tables, knowledge-graph exports, CMOC records, contradiction registers, and adjudication logs—can support replication, secondary analysis, and transparent peer review.</w:t>
      </w:r>
    </w:p>
    <w:p>
      <w:pPr>
        <w:ind w:firstLine="432"/>
        <w:jc w:val="both"/>
      </w:pPr>
      <w:r>
        <w:t>The design also makes comparative methodology possible. Because the core produces common logs and artifacts, researchers can compare alternative models, prompts, graph-construction rules, or synthesis plugins while holding the benchmark and protocol constant. The result is a testable research program: not “Can an AI write a review?” but “Under which specifications, for which review tasks, and with what human controls does AI-assisted synthesis produce defensible evidence products?”</w:t>
      </w:r>
    </w:p>
    <w:p>
      <w:pPr>
        <w:pStyle w:val="Heading1"/>
      </w:pPr>
      <w:r>
        <w:t>Limitations</w:t>
      </w:r>
    </w:p>
    <w:p>
      <w:pPr>
        <w:ind w:firstLine="432"/>
        <w:jc w:val="both"/>
      </w:pPr>
      <w:r>
        <w:t>The current study is a methodological pilot. One benchmark review cannot establish generalizability across topics, databases, review teams, or synthesis methods. The benchmark itself is a scholarly interpretation rather than an error-free gold standard. Screening recall remains incomplete, exact CMOC agreement is limited, and some synthesis functions are unfinished. The current comparison may also be affected by differences in document access, extraction granularity, and the amount of information reported in the published review. Human correction is therefore part of the method and must be included when estimating time, cost, and performance. Broader validation should use multiple independent reviews, blinded adjudicators, prespecified metrics, and sensitivity analyses across models and prompts.</w:t>
      </w:r>
    </w:p>
    <w:p>
      <w:pPr>
        <w:pStyle w:val="Heading1"/>
      </w:pPr>
      <w:r>
        <w:t>Conclusion</w:t>
      </w:r>
    </w:p>
    <w:p>
      <w:pPr>
        <w:ind w:firstLine="432"/>
        <w:jc w:val="both"/>
      </w:pPr>
      <w:r>
        <w:t>This study provides preliminary evidence for a human-governed AI-agent method for educational evidence synthesis. The main contribution is not automation alone, but an auditable framework for determining where AI assists, where it fails, and where expert interpretation remains indispensable. The Richmond benchmark reveals both productive capabilities—structured extraction, provenance, and candidate relationship generation—and consequential weaknesses in recall, exact agreement, contextual representation, and higher-order synthesis. With verified final metrics and expanded validation, the framework can support more transparent and reproducible research reviews while preserving human responsibility for methodological and interpretive decisions.</w:t>
      </w:r>
    </w:p>
    <w:p>
      <w:r>
        <w:br w:type="page"/>
      </w:r>
    </w:p>
    <w:p>
      <w:pPr>
        <w:pStyle w:val="Heading1"/>
      </w:pPr>
      <w:r>
        <w:t>References</w:t>
      </w:r>
    </w:p>
    <w:p>
      <w:pPr>
        <w:spacing w:after="80"/>
        <w:ind w:left="432" w:hanging="432"/>
        <w:jc w:val="left"/>
      </w:pPr>
      <w:r>
        <w:t>American Educational Research Association, American Psychological Association, &amp; National Council on Measurement in Education. (2014). Standards for educational and psychological testing. American Educational Research Association.</w:t>
      </w:r>
    </w:p>
    <w:p>
      <w:pPr>
        <w:spacing w:after="80"/>
        <w:ind w:left="432" w:hanging="432"/>
        <w:jc w:val="left"/>
      </w:pPr>
      <w:r>
        <w:t>Edge, D., Trinh, H., Cheng, N., Bradley, J., Chao, A., Mody, A., Truitt, S., Metropolitansky, D., Ness, R. O., &amp; Larson, J. (2024). From local to global: A Graph RAG approach to query-focused summarization. arXiv. https://doi.org/10.48550/arXiv.2404.16130</w:t>
      </w:r>
    </w:p>
    <w:p>
      <w:pPr>
        <w:spacing w:after="80"/>
        <w:ind w:left="432" w:hanging="432"/>
        <w:jc w:val="left"/>
      </w:pPr>
      <w:r>
        <w:t>Lewis, P., Perez, E., Piktus, A., Petroni, F., Karpukhin, V., Goyal, N., Küttler, H., Lewis, M., Yih, W.-t., Rocktäschel, T., Riedel, S., &amp; Kiela, D. (2020). Retrieval-augmented generation for knowledge-intensive NLP tasks. In Advances in Neural Information Processing Systems (Vol. 33, pp. 9459–9474).</w:t>
      </w:r>
    </w:p>
    <w:p>
      <w:pPr>
        <w:spacing w:after="80"/>
        <w:ind w:left="432" w:hanging="432"/>
        <w:jc w:val="left"/>
      </w:pPr>
      <w:r>
        <w:t>Marshall, I. J., &amp; Wallace, B. C. (2019). Toward systematic review automation: A practical guide to using machine learning tools in research synthesis. Systematic Reviews, 8, Article 163. https://doi.org/10.1186/s13643-019-1074-9</w:t>
      </w:r>
    </w:p>
    <w:p>
      <w:pPr>
        <w:spacing w:after="80"/>
        <w:ind w:left="432" w:hanging="432"/>
        <w:jc w:val="left"/>
      </w:pPr>
      <w: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pPr>
        <w:spacing w:after="80"/>
        <w:ind w:left="432" w:hanging="432"/>
        <w:jc w:val="left"/>
      </w:pPr>
      <w:r>
        <w:t>Pawson, R., Greenhalgh, T., Harvey, G., &amp; Walshe, K. (2005). Realist review—A new method of systematic review designed for complex policy interventions. Journal of Health Services Research &amp; Policy, 10(Suppl. 1), 21–34. https://doi.org/10.1258/1355819054308530</w:t>
      </w:r>
    </w:p>
    <w:p>
      <w:pPr>
        <w:spacing w:after="80"/>
        <w:ind w:left="432" w:hanging="432"/>
        <w:jc w:val="left"/>
      </w:pPr>
      <w:r>
        <w:t>Richmond, A., Cooper, N., Gay, S., Atiomo, W., &amp; Patel, R. (2020). The student is key: A realist review of educational interventions to develop analytical and non-analytical clinical reasoning ability. Medical Education, 54(8), 709–719. https://doi.org/10.1111/medu.14137</w:t>
      </w:r>
    </w:p>
    <w:p>
      <w:pPr>
        <w:spacing w:after="80"/>
        <w:ind w:left="432" w:hanging="432"/>
        <w:jc w:val="left"/>
      </w:pPr>
      <w:r>
        <w:t>van de Schoot, R., de Bruin, J., Schram, R., Zahedi, P., de Boer, J., Weijdema, F., Kramer, B., Huijts, M., Hoogerwerf, M., Ferdinands, G., Harkema, A., Willemsen, J., Ma, Y., Fang, Q., Hindriks, S., Tummers, L., &amp; Oberski, D. L. (2021). An open source machine learning framework for efficient and transparent systematic reviews. Nature Machine Intelligence, 3, 125–133. https://doi.org/10.1038/s42256-020-00287-7</w:t>
      </w:r>
    </w:p>
    <w:p>
      <w:pPr>
        <w:spacing w:after="80"/>
        <w:ind w:left="432" w:hanging="432"/>
        <w:jc w:val="left"/>
      </w:pPr>
      <w:r>
        <w:t>Wong, G., Greenhalgh, T., Westhorp, G., Buckingham, J., &amp; Pawson, R. (2013). RAMESES publication standards: Realist syntheses. BMC Medicine, 11, Article 21. https://doi.org/10.1186/1741-7015-11-21</w:t>
      </w:r>
    </w:p>
    <w:p>
      <w:pPr>
        <w:pStyle w:val="Heading1"/>
      </w:pPr>
      <w:r>
        <w:t>AI-Use Disclosure (Submission Portal)</w:t>
      </w:r>
    </w:p>
    <w:p>
      <w:pPr>
        <w:jc w:val="both"/>
      </w:pPr>
      <w:r>
        <w:t>Generative AI and agent-based tools were used to support software development, structured literature retrieval, candidate screening, evidence extraction, knowledge-graph construction, schema-based synthesis, and language editing. All review protocols, inclusion criteria, benchmark definitions, adjudication decisions, metric verification, interpretation, and final claims were determined and reviewed by human researchers. AI outputs were logged and treated as unverified until checked against source evidence.</w:t>
      </w:r>
    </w:p>
    <w:p>
      <w:pPr>
        <w:pStyle w:val="Heading1"/>
      </w:pPr>
      <w:r>
        <w:t>IRB / Ethics Statement (Submission Portal)</w:t>
      </w:r>
    </w:p>
    <w:p>
      <w:pPr>
        <w:jc w:val="both"/>
      </w:pPr>
      <w:r>
        <w:rPr>
          <w:b w:val="0"/>
        </w:rPr>
        <w:t>This methodological study analyzes only published literature and does not use private human-participant data; it is therefore not human-subjects research. Any collection of adjudicator ratings for reliability analysis will be submitted for an institutional exempt determination before data collection.</w:t>
      </w:r>
      <w:r>
        <w:rPr>
          <w:b/>
        </w:rPr>
      </w:r>
    </w:p>
    <w:p>
      <w:pPr>
        <w:pStyle w:val="Heading1"/>
      </w:pPr>
      <w:r>
        <w:t>Suggested Submission Descriptors</w:t>
      </w:r>
    </w:p>
    <w:p>
      <w:r>
        <w:t>Research methodology; systematic review; qualitative and mixed-method synthesis; AI-assisted research methods; evidence synthesis; validity and reliability; research ethics; transparency and reproducibility.</w:t>
      </w:r>
    </w:p>
    <w:p>
      <w:pPr>
        <w:sectPr>
          <w:pgSz w:w="12240" w:h="15840"/>
          <w:pgMar w:top="1440" w:right="1440" w:bottom="1440" w:left="1440" w:header="720" w:footer="720" w:gutter="0"/>
          <w:cols w:space="720"/>
          <w:docGrid w:linePitch="360"/>
        </w:sectPr>
      </w:pPr>
    </w:p>
    <w:p>
      <w:pPr>
        <w:spacing w:before="80" w:after="60"/>
      </w:pPr>
      <w:r>
        <w:rPr>
          <w:rFonts w:ascii="Times New Roman" w:hAnsi="Times New Roman"/>
          <w:b/>
          <w:sz w:val="20"/>
        </w:rPr>
        <w:t>Table 1. Core-and-Plugin Workflow Architecture</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1440"/>
            <w:vAlign w:val="top"/>
            <w:shd w:fill="D9E1F2"/>
          </w:tcPr>
          <w:p>
            <w:pPr>
              <w:spacing w:after="0" w:line="240" w:lineRule="auto"/>
              <w:jc w:val="left"/>
            </w:pPr>
            <w:r/>
            <w:r>
              <w:rPr>
                <w:rFonts w:ascii="Times New Roman" w:hAnsi="Times New Roman" w:eastAsia="Times New Roman"/>
                <w:b/>
                <w:sz w:val="18"/>
              </w:rPr>
              <w:t>Stage</w:t>
            </w:r>
          </w:p>
        </w:tc>
        <w:tc>
          <w:tcPr>
            <w:tcW w:type="dxa" w:w="3384"/>
            <w:vAlign w:val="top"/>
            <w:shd w:fill="D9E1F2"/>
          </w:tcPr>
          <w:p>
            <w:pPr>
              <w:spacing w:after="0" w:line="240" w:lineRule="auto"/>
              <w:jc w:val="left"/>
            </w:pPr>
            <w:r/>
            <w:r>
              <w:rPr>
                <w:rFonts w:ascii="Times New Roman" w:hAnsi="Times New Roman" w:eastAsia="Times New Roman"/>
                <w:b/>
                <w:sz w:val="18"/>
              </w:rPr>
              <w:t>Core Function</w:t>
            </w:r>
          </w:p>
        </w:tc>
        <w:tc>
          <w:tcPr>
            <w:tcW w:type="dxa" w:w="2592"/>
            <w:vAlign w:val="top"/>
            <w:shd w:fill="D9E1F2"/>
          </w:tcPr>
          <w:p>
            <w:pPr>
              <w:spacing w:after="0" w:line="240" w:lineRule="auto"/>
              <w:jc w:val="left"/>
            </w:pPr>
            <w:r/>
            <w:r>
              <w:rPr>
                <w:rFonts w:ascii="Times New Roman" w:hAnsi="Times New Roman" w:eastAsia="Times New Roman"/>
                <w:b/>
                <w:sz w:val="18"/>
              </w:rPr>
              <w:t>Primary Artifact</w:t>
            </w:r>
          </w:p>
        </w:tc>
        <w:tc>
          <w:tcPr>
            <w:tcW w:type="dxa" w:w="3168"/>
            <w:vAlign w:val="top"/>
            <w:shd w:fill="D9E1F2"/>
          </w:tcPr>
          <w:p>
            <w:pPr>
              <w:spacing w:after="0" w:line="240" w:lineRule="auto"/>
              <w:jc w:val="left"/>
            </w:pPr>
            <w:r/>
            <w:r>
              <w:rPr>
                <w:rFonts w:ascii="Times New Roman" w:hAnsi="Times New Roman" w:eastAsia="Times New Roman"/>
                <w:b/>
                <w:sz w:val="18"/>
              </w:rPr>
              <w:t>Required Provenance</w:t>
            </w:r>
          </w:p>
        </w:tc>
        <w:tc>
          <w:tcPr>
            <w:tcW w:type="dxa" w:w="2664"/>
            <w:vAlign w:val="top"/>
            <w:shd w:fill="D9E1F2"/>
          </w:tcPr>
          <w:p>
            <w:pPr>
              <w:spacing w:after="0" w:line="240" w:lineRule="auto"/>
              <w:jc w:val="left"/>
            </w:pPr>
            <w:r/>
            <w:r>
              <w:rPr>
                <w:rFonts w:ascii="Times New Roman" w:hAnsi="Times New Roman" w:eastAsia="Times New Roman"/>
                <w:b/>
                <w:sz w:val="18"/>
              </w:rPr>
              <w:t>Human Control</w:t>
            </w:r>
          </w:p>
        </w:tc>
      </w:tr>
      <w:tr>
        <w:tc>
          <w:tcPr>
            <w:tcW w:type="dxa" w:w="1440"/>
            <w:vAlign w:val="top"/>
          </w:tcPr>
          <w:p>
            <w:pPr>
              <w:spacing w:after="0" w:line="240" w:lineRule="auto"/>
              <w:jc w:val="left"/>
            </w:pPr>
            <w:r/>
            <w:r>
              <w:rPr>
                <w:rFonts w:ascii="Times New Roman" w:hAnsi="Times New Roman" w:eastAsia="Times New Roman"/>
                <w:b w:val="0"/>
                <w:sz w:val="17"/>
              </w:rPr>
              <w:t>Protocol</w:t>
            </w:r>
          </w:p>
        </w:tc>
        <w:tc>
          <w:tcPr>
            <w:tcW w:type="dxa" w:w="3384"/>
            <w:vAlign w:val="top"/>
          </w:tcPr>
          <w:p>
            <w:pPr>
              <w:spacing w:after="0" w:line="240" w:lineRule="auto"/>
              <w:jc w:val="left"/>
            </w:pPr>
            <w:r/>
            <w:r>
              <w:rPr>
                <w:rFonts w:ascii="Times New Roman" w:hAnsi="Times New Roman" w:eastAsia="Times New Roman"/>
                <w:b w:val="0"/>
                <w:sz w:val="17"/>
              </w:rPr>
              <w:t>Define question, databases, eligibility rules, and review method</w:t>
            </w:r>
          </w:p>
        </w:tc>
        <w:tc>
          <w:tcPr>
            <w:tcW w:type="dxa" w:w="2592"/>
            <w:vAlign w:val="top"/>
          </w:tcPr>
          <w:p>
            <w:pPr>
              <w:spacing w:after="0" w:line="240" w:lineRule="auto"/>
              <w:jc w:val="left"/>
            </w:pPr>
            <w:r/>
            <w:r>
              <w:rPr>
                <w:rFonts w:ascii="Times New Roman" w:hAnsi="Times New Roman" w:eastAsia="Times New Roman"/>
                <w:b w:val="0"/>
                <w:sz w:val="17"/>
              </w:rPr>
              <w:t>Versioned protocol</w:t>
            </w:r>
          </w:p>
        </w:tc>
        <w:tc>
          <w:tcPr>
            <w:tcW w:type="dxa" w:w="3168"/>
            <w:vAlign w:val="top"/>
          </w:tcPr>
          <w:p>
            <w:pPr>
              <w:spacing w:after="0" w:line="240" w:lineRule="auto"/>
              <w:jc w:val="left"/>
            </w:pPr>
            <w:r/>
            <w:r>
              <w:rPr>
                <w:rFonts w:ascii="Times New Roman" w:hAnsi="Times New Roman" w:eastAsia="Times New Roman"/>
                <w:b w:val="0"/>
                <w:sz w:val="17"/>
              </w:rPr>
              <w:t>Protocol version; date; decision owner</w:t>
            </w:r>
          </w:p>
        </w:tc>
        <w:tc>
          <w:tcPr>
            <w:tcW w:type="dxa" w:w="2664"/>
            <w:vAlign w:val="top"/>
          </w:tcPr>
          <w:p>
            <w:pPr>
              <w:spacing w:after="0" w:line="240" w:lineRule="auto"/>
              <w:jc w:val="left"/>
            </w:pPr>
            <w:r/>
            <w:r>
              <w:rPr>
                <w:rFonts w:ascii="Times New Roman" w:hAnsi="Times New Roman" w:eastAsia="Times New Roman"/>
                <w:b w:val="0"/>
                <w:sz w:val="17"/>
              </w:rPr>
              <w:t>Approve before retrieval</w:t>
            </w:r>
          </w:p>
        </w:tc>
      </w:tr>
      <w:tr>
        <w:tc>
          <w:tcPr>
            <w:tcW w:type="dxa" w:w="1440"/>
            <w:vAlign w:val="top"/>
          </w:tcPr>
          <w:p>
            <w:pPr>
              <w:spacing w:after="0" w:line="240" w:lineRule="auto"/>
              <w:jc w:val="left"/>
            </w:pPr>
            <w:r/>
            <w:r>
              <w:rPr>
                <w:rFonts w:ascii="Times New Roman" w:hAnsi="Times New Roman" w:eastAsia="Times New Roman"/>
                <w:b w:val="0"/>
                <w:sz w:val="17"/>
              </w:rPr>
              <w:t>Retrieval</w:t>
            </w:r>
          </w:p>
        </w:tc>
        <w:tc>
          <w:tcPr>
            <w:tcW w:type="dxa" w:w="3384"/>
            <w:vAlign w:val="top"/>
          </w:tcPr>
          <w:p>
            <w:pPr>
              <w:spacing w:after="0" w:line="240" w:lineRule="auto"/>
              <w:jc w:val="left"/>
            </w:pPr>
            <w:r/>
            <w:r>
              <w:rPr>
                <w:rFonts w:ascii="Times New Roman" w:hAnsi="Times New Roman" w:eastAsia="Times New Roman"/>
                <w:b w:val="0"/>
                <w:sz w:val="17"/>
              </w:rPr>
              <w:t>Execute documented searches and acquire records/full text</w:t>
            </w:r>
          </w:p>
        </w:tc>
        <w:tc>
          <w:tcPr>
            <w:tcW w:type="dxa" w:w="2592"/>
            <w:vAlign w:val="top"/>
          </w:tcPr>
          <w:p>
            <w:pPr>
              <w:spacing w:after="0" w:line="240" w:lineRule="auto"/>
              <w:jc w:val="left"/>
            </w:pPr>
            <w:r/>
            <w:r>
              <w:rPr>
                <w:rFonts w:ascii="Times New Roman" w:hAnsi="Times New Roman" w:eastAsia="Times New Roman"/>
                <w:b w:val="0"/>
                <w:sz w:val="17"/>
              </w:rPr>
              <w:t>Search log and source registry</w:t>
            </w:r>
          </w:p>
        </w:tc>
        <w:tc>
          <w:tcPr>
            <w:tcW w:type="dxa" w:w="3168"/>
            <w:vAlign w:val="top"/>
          </w:tcPr>
          <w:p>
            <w:pPr>
              <w:spacing w:after="0" w:line="240" w:lineRule="auto"/>
              <w:jc w:val="left"/>
            </w:pPr>
            <w:r/>
            <w:r>
              <w:rPr>
                <w:rFonts w:ascii="Times New Roman" w:hAnsi="Times New Roman" w:eastAsia="Times New Roman"/>
                <w:b w:val="0"/>
                <w:sz w:val="17"/>
              </w:rPr>
              <w:t>Database, query, date, record identifier</w:t>
            </w:r>
          </w:p>
        </w:tc>
        <w:tc>
          <w:tcPr>
            <w:tcW w:type="dxa" w:w="2664"/>
            <w:vAlign w:val="top"/>
          </w:tcPr>
          <w:p>
            <w:pPr>
              <w:spacing w:after="0" w:line="240" w:lineRule="auto"/>
              <w:jc w:val="left"/>
            </w:pPr>
            <w:r/>
            <w:r>
              <w:rPr>
                <w:rFonts w:ascii="Times New Roman" w:hAnsi="Times New Roman" w:eastAsia="Times New Roman"/>
                <w:b w:val="0"/>
                <w:sz w:val="17"/>
              </w:rPr>
              <w:t>Review coverage and access failures</w:t>
            </w:r>
          </w:p>
        </w:tc>
      </w:tr>
      <w:tr>
        <w:tc>
          <w:tcPr>
            <w:tcW w:type="dxa" w:w="1440"/>
            <w:vAlign w:val="top"/>
          </w:tcPr>
          <w:p>
            <w:pPr>
              <w:spacing w:after="0" w:line="240" w:lineRule="auto"/>
              <w:jc w:val="left"/>
            </w:pPr>
            <w:r/>
            <w:r>
              <w:rPr>
                <w:rFonts w:ascii="Times New Roman" w:hAnsi="Times New Roman" w:eastAsia="Times New Roman"/>
                <w:b w:val="0"/>
                <w:sz w:val="17"/>
              </w:rPr>
              <w:t>Screening</w:t>
            </w:r>
          </w:p>
        </w:tc>
        <w:tc>
          <w:tcPr>
            <w:tcW w:type="dxa" w:w="3384"/>
            <w:vAlign w:val="top"/>
          </w:tcPr>
          <w:p>
            <w:pPr>
              <w:spacing w:after="0" w:line="240" w:lineRule="auto"/>
              <w:jc w:val="left"/>
            </w:pPr>
            <w:r/>
            <w:r>
              <w:rPr>
                <w:rFonts w:ascii="Times New Roman" w:hAnsi="Times New Roman" w:eastAsia="Times New Roman"/>
                <w:b w:val="0"/>
                <w:sz w:val="17"/>
              </w:rPr>
              <w:t>Deduplicate and assess title/abstract and full text</w:t>
            </w:r>
          </w:p>
        </w:tc>
        <w:tc>
          <w:tcPr>
            <w:tcW w:type="dxa" w:w="2592"/>
            <w:vAlign w:val="top"/>
          </w:tcPr>
          <w:p>
            <w:pPr>
              <w:spacing w:after="0" w:line="240" w:lineRule="auto"/>
              <w:jc w:val="left"/>
            </w:pPr>
            <w:r/>
            <w:r>
              <w:rPr>
                <w:rFonts w:ascii="Times New Roman" w:hAnsi="Times New Roman" w:eastAsia="Times New Roman"/>
                <w:b w:val="0"/>
                <w:sz w:val="17"/>
              </w:rPr>
              <w:t>Eligibility table</w:t>
            </w:r>
          </w:p>
        </w:tc>
        <w:tc>
          <w:tcPr>
            <w:tcW w:type="dxa" w:w="3168"/>
            <w:vAlign w:val="top"/>
          </w:tcPr>
          <w:p>
            <w:pPr>
              <w:spacing w:after="0" w:line="240" w:lineRule="auto"/>
              <w:jc w:val="left"/>
            </w:pPr>
            <w:r/>
            <w:r>
              <w:rPr>
                <w:rFonts w:ascii="Times New Roman" w:hAnsi="Times New Roman" w:eastAsia="Times New Roman"/>
                <w:b w:val="0"/>
                <w:sz w:val="17"/>
              </w:rPr>
              <w:t>Decision, rationale, confidence, source text</w:t>
            </w:r>
          </w:p>
        </w:tc>
        <w:tc>
          <w:tcPr>
            <w:tcW w:type="dxa" w:w="2664"/>
            <w:vAlign w:val="top"/>
          </w:tcPr>
          <w:p>
            <w:pPr>
              <w:spacing w:after="0" w:line="240" w:lineRule="auto"/>
              <w:jc w:val="left"/>
            </w:pPr>
            <w:r/>
            <w:r>
              <w:rPr>
                <w:rFonts w:ascii="Times New Roman" w:hAnsi="Times New Roman" w:eastAsia="Times New Roman"/>
                <w:b w:val="0"/>
                <w:sz w:val="17"/>
              </w:rPr>
              <w:t>Adjudicate uncertain/excluded benchmark records</w:t>
            </w:r>
          </w:p>
        </w:tc>
      </w:tr>
      <w:tr>
        <w:tc>
          <w:tcPr>
            <w:tcW w:type="dxa" w:w="1440"/>
            <w:vAlign w:val="top"/>
          </w:tcPr>
          <w:p>
            <w:pPr>
              <w:spacing w:after="0" w:line="240" w:lineRule="auto"/>
              <w:jc w:val="left"/>
            </w:pPr>
            <w:r/>
            <w:r>
              <w:rPr>
                <w:rFonts w:ascii="Times New Roman" w:hAnsi="Times New Roman" w:eastAsia="Times New Roman"/>
                <w:b w:val="0"/>
                <w:sz w:val="17"/>
              </w:rPr>
              <w:t>Extraction</w:t>
            </w:r>
          </w:p>
        </w:tc>
        <w:tc>
          <w:tcPr>
            <w:tcW w:type="dxa" w:w="3384"/>
            <w:vAlign w:val="top"/>
          </w:tcPr>
          <w:p>
            <w:pPr>
              <w:spacing w:after="0" w:line="240" w:lineRule="auto"/>
              <w:jc w:val="left"/>
            </w:pPr>
            <w:r/>
            <w:r>
              <w:rPr>
                <w:rFonts w:ascii="Times New Roman" w:hAnsi="Times New Roman" w:eastAsia="Times New Roman"/>
                <w:b w:val="0"/>
                <w:sz w:val="17"/>
              </w:rPr>
              <w:t>Extract study attributes and method-specific evidence</w:t>
            </w:r>
          </w:p>
        </w:tc>
        <w:tc>
          <w:tcPr>
            <w:tcW w:type="dxa" w:w="2592"/>
            <w:vAlign w:val="top"/>
          </w:tcPr>
          <w:p>
            <w:pPr>
              <w:spacing w:after="0" w:line="240" w:lineRule="auto"/>
              <w:jc w:val="left"/>
            </w:pPr>
            <w:r/>
            <w:r>
              <w:rPr>
                <w:rFonts w:ascii="Times New Roman" w:hAnsi="Times New Roman" w:eastAsia="Times New Roman"/>
                <w:b w:val="0"/>
                <w:sz w:val="17"/>
              </w:rPr>
              <w:t>Structured evidence file</w:t>
            </w:r>
          </w:p>
        </w:tc>
        <w:tc>
          <w:tcPr>
            <w:tcW w:type="dxa" w:w="3168"/>
            <w:vAlign w:val="top"/>
          </w:tcPr>
          <w:p>
            <w:pPr>
              <w:spacing w:after="0" w:line="240" w:lineRule="auto"/>
              <w:jc w:val="left"/>
            </w:pPr>
            <w:r/>
            <w:r>
              <w:rPr>
                <w:rFonts w:ascii="Times New Roman" w:hAnsi="Times New Roman" w:eastAsia="Times New Roman"/>
                <w:b w:val="0"/>
                <w:sz w:val="17"/>
              </w:rPr>
              <w:t>Page/passage; schema version; model/prompt</w:t>
            </w:r>
          </w:p>
        </w:tc>
        <w:tc>
          <w:tcPr>
            <w:tcW w:type="dxa" w:w="2664"/>
            <w:vAlign w:val="top"/>
          </w:tcPr>
          <w:p>
            <w:pPr>
              <w:spacing w:after="0" w:line="240" w:lineRule="auto"/>
              <w:jc w:val="left"/>
            </w:pPr>
            <w:r/>
            <w:r>
              <w:rPr>
                <w:rFonts w:ascii="Times New Roman" w:hAnsi="Times New Roman" w:eastAsia="Times New Roman"/>
                <w:b w:val="0"/>
                <w:sz w:val="17"/>
              </w:rPr>
              <w:t>Verify evidence-to-field alignment</w:t>
            </w:r>
          </w:p>
        </w:tc>
      </w:tr>
      <w:tr>
        <w:tc>
          <w:tcPr>
            <w:tcW w:type="dxa" w:w="1440"/>
            <w:vAlign w:val="top"/>
          </w:tcPr>
          <w:p>
            <w:pPr>
              <w:spacing w:after="0" w:line="240" w:lineRule="auto"/>
              <w:jc w:val="left"/>
            </w:pPr>
            <w:r/>
            <w:r>
              <w:rPr>
                <w:rFonts w:ascii="Times New Roman" w:hAnsi="Times New Roman" w:eastAsia="Times New Roman"/>
                <w:b w:val="0"/>
                <w:sz w:val="17"/>
              </w:rPr>
              <w:t>Knowledge graph</w:t>
            </w:r>
          </w:p>
        </w:tc>
        <w:tc>
          <w:tcPr>
            <w:tcW w:type="dxa" w:w="3384"/>
            <w:vAlign w:val="top"/>
          </w:tcPr>
          <w:p>
            <w:pPr>
              <w:spacing w:after="0" w:line="240" w:lineRule="auto"/>
              <w:jc w:val="left"/>
            </w:pPr>
            <w:r/>
            <w:r>
              <w:rPr>
                <w:rFonts w:ascii="Times New Roman" w:hAnsi="Times New Roman" w:eastAsia="Times New Roman"/>
                <w:b w:val="0"/>
                <w:sz w:val="17"/>
              </w:rPr>
              <w:t>Link studies, contexts, mechanisms, outcomes, and claims</w:t>
            </w:r>
          </w:p>
        </w:tc>
        <w:tc>
          <w:tcPr>
            <w:tcW w:type="dxa" w:w="2592"/>
            <w:vAlign w:val="top"/>
          </w:tcPr>
          <w:p>
            <w:pPr>
              <w:spacing w:after="0" w:line="240" w:lineRule="auto"/>
              <w:jc w:val="left"/>
            </w:pPr>
            <w:r/>
            <w:r>
              <w:rPr>
                <w:rFonts w:ascii="Times New Roman" w:hAnsi="Times New Roman" w:eastAsia="Times New Roman"/>
                <w:b w:val="0"/>
                <w:sz w:val="17"/>
              </w:rPr>
              <w:t>Literature Knowledge Graph</w:t>
            </w:r>
          </w:p>
        </w:tc>
        <w:tc>
          <w:tcPr>
            <w:tcW w:type="dxa" w:w="3168"/>
            <w:vAlign w:val="top"/>
          </w:tcPr>
          <w:p>
            <w:pPr>
              <w:spacing w:after="0" w:line="240" w:lineRule="auto"/>
              <w:jc w:val="left"/>
            </w:pPr>
            <w:r/>
            <w:r>
              <w:rPr>
                <w:rFonts w:ascii="Times New Roman" w:hAnsi="Times New Roman" w:eastAsia="Times New Roman"/>
                <w:b w:val="0"/>
                <w:sz w:val="17"/>
              </w:rPr>
              <w:t>Node/edge source and transformation history</w:t>
            </w:r>
          </w:p>
        </w:tc>
        <w:tc>
          <w:tcPr>
            <w:tcW w:type="dxa" w:w="2664"/>
            <w:vAlign w:val="top"/>
          </w:tcPr>
          <w:p>
            <w:pPr>
              <w:spacing w:after="0" w:line="240" w:lineRule="auto"/>
              <w:jc w:val="left"/>
            </w:pPr>
            <w:r/>
            <w:r>
              <w:rPr>
                <w:rFonts w:ascii="Times New Roman" w:hAnsi="Times New Roman" w:eastAsia="Times New Roman"/>
                <w:b w:val="0"/>
                <w:sz w:val="17"/>
              </w:rPr>
              <w:t>Merge/split/rename constructs</w:t>
            </w:r>
          </w:p>
        </w:tc>
      </w:tr>
      <w:tr>
        <w:tc>
          <w:tcPr>
            <w:tcW w:type="dxa" w:w="1440"/>
            <w:vAlign w:val="top"/>
          </w:tcPr>
          <w:p>
            <w:pPr>
              <w:spacing w:after="0" w:line="240" w:lineRule="auto"/>
              <w:jc w:val="left"/>
            </w:pPr>
            <w:r/>
            <w:r>
              <w:rPr>
                <w:rFonts w:ascii="Times New Roman" w:hAnsi="Times New Roman" w:eastAsia="Times New Roman"/>
                <w:b w:val="0"/>
                <w:sz w:val="17"/>
              </w:rPr>
              <w:t>Realist plugin</w:t>
            </w:r>
          </w:p>
        </w:tc>
        <w:tc>
          <w:tcPr>
            <w:tcW w:type="dxa" w:w="3384"/>
            <w:vAlign w:val="top"/>
          </w:tcPr>
          <w:p>
            <w:pPr>
              <w:spacing w:after="0" w:line="240" w:lineRule="auto"/>
              <w:jc w:val="left"/>
            </w:pPr>
            <w:r/>
            <w:r>
              <w:rPr>
                <w:rFonts w:ascii="Times New Roman" w:hAnsi="Times New Roman" w:eastAsia="Times New Roman"/>
                <w:b w:val="0"/>
                <w:sz w:val="17"/>
              </w:rPr>
              <w:t>Generate CMOCs, contradictions, demi-regularities, and theory candidates</w:t>
            </w:r>
          </w:p>
        </w:tc>
        <w:tc>
          <w:tcPr>
            <w:tcW w:type="dxa" w:w="2592"/>
            <w:vAlign w:val="top"/>
          </w:tcPr>
          <w:p>
            <w:pPr>
              <w:spacing w:after="0" w:line="240" w:lineRule="auto"/>
              <w:jc w:val="left"/>
            </w:pPr>
            <w:r/>
            <w:r>
              <w:rPr>
                <w:rFonts w:ascii="Times New Roman" w:hAnsi="Times New Roman" w:eastAsia="Times New Roman"/>
                <w:b w:val="0"/>
                <w:sz w:val="17"/>
              </w:rPr>
              <w:t>CMOC set; contradiction register; theory versions</w:t>
            </w:r>
          </w:p>
        </w:tc>
        <w:tc>
          <w:tcPr>
            <w:tcW w:type="dxa" w:w="3168"/>
            <w:vAlign w:val="top"/>
          </w:tcPr>
          <w:p>
            <w:pPr>
              <w:spacing w:after="0" w:line="240" w:lineRule="auto"/>
              <w:jc w:val="left"/>
            </w:pPr>
            <w:r/>
            <w:r>
              <w:rPr>
                <w:rFonts w:ascii="Times New Roman" w:hAnsi="Times New Roman" w:eastAsia="Times New Roman"/>
                <w:b w:val="0"/>
                <w:sz w:val="17"/>
              </w:rPr>
              <w:t>Supporting passages and relation paths</w:t>
            </w:r>
          </w:p>
        </w:tc>
        <w:tc>
          <w:tcPr>
            <w:tcW w:type="dxa" w:w="2664"/>
            <w:vAlign w:val="top"/>
          </w:tcPr>
          <w:p>
            <w:pPr>
              <w:spacing w:after="0" w:line="240" w:lineRule="auto"/>
              <w:jc w:val="left"/>
            </w:pPr>
            <w:r/>
            <w:r>
              <w:rPr>
                <w:rFonts w:ascii="Times New Roman" w:hAnsi="Times New Roman" w:eastAsia="Times New Roman"/>
                <w:b w:val="0"/>
                <w:sz w:val="17"/>
              </w:rPr>
              <w:t>Adjudicate interpretation and theory</w:t>
            </w:r>
          </w:p>
        </w:tc>
      </w:tr>
      <w:tr>
        <w:tc>
          <w:tcPr>
            <w:tcW w:type="dxa" w:w="1440"/>
            <w:vAlign w:val="top"/>
          </w:tcPr>
          <w:p>
            <w:pPr>
              <w:spacing w:after="0" w:line="240" w:lineRule="auto"/>
              <w:jc w:val="left"/>
            </w:pPr>
            <w:r/>
            <w:r>
              <w:rPr>
                <w:rFonts w:ascii="Times New Roman" w:hAnsi="Times New Roman" w:eastAsia="Times New Roman"/>
                <w:b w:val="0"/>
                <w:sz w:val="17"/>
              </w:rPr>
              <w:t>Audit/reporting</w:t>
            </w:r>
          </w:p>
        </w:tc>
        <w:tc>
          <w:tcPr>
            <w:tcW w:type="dxa" w:w="3384"/>
            <w:vAlign w:val="top"/>
          </w:tcPr>
          <w:p>
            <w:pPr>
              <w:spacing w:after="0" w:line="240" w:lineRule="auto"/>
              <w:jc w:val="left"/>
            </w:pPr>
            <w:r/>
            <w:r>
              <w:rPr>
                <w:rFonts w:ascii="Times New Roman" w:hAnsi="Times New Roman" w:eastAsia="Times New Roman"/>
                <w:b w:val="0"/>
                <w:sz w:val="17"/>
              </w:rPr>
              <w:t>Check citations, compile errors, and export review artifacts</w:t>
            </w:r>
          </w:p>
        </w:tc>
        <w:tc>
          <w:tcPr>
            <w:tcW w:type="dxa" w:w="2592"/>
            <w:vAlign w:val="top"/>
          </w:tcPr>
          <w:p>
            <w:pPr>
              <w:spacing w:after="0" w:line="240" w:lineRule="auto"/>
              <w:jc w:val="left"/>
            </w:pPr>
            <w:r/>
            <w:r>
              <w:rPr>
                <w:rFonts w:ascii="Times New Roman" w:hAnsi="Times New Roman" w:eastAsia="Times New Roman"/>
                <w:b w:val="0"/>
                <w:sz w:val="17"/>
              </w:rPr>
              <w:t>Audit log and repository package</w:t>
            </w:r>
          </w:p>
        </w:tc>
        <w:tc>
          <w:tcPr>
            <w:tcW w:type="dxa" w:w="3168"/>
            <w:vAlign w:val="top"/>
          </w:tcPr>
          <w:p>
            <w:pPr>
              <w:spacing w:after="0" w:line="240" w:lineRule="auto"/>
              <w:jc w:val="left"/>
            </w:pPr>
            <w:r/>
            <w:r>
              <w:rPr>
                <w:rFonts w:ascii="Times New Roman" w:hAnsi="Times New Roman" w:eastAsia="Times New Roman"/>
                <w:b w:val="0"/>
                <w:sz w:val="17"/>
              </w:rPr>
              <w:t>All revisions and rejected outputs</w:t>
            </w:r>
          </w:p>
        </w:tc>
        <w:tc>
          <w:tcPr>
            <w:tcW w:type="dxa" w:w="2664"/>
            <w:vAlign w:val="top"/>
          </w:tcPr>
          <w:p>
            <w:pPr>
              <w:spacing w:after="0" w:line="240" w:lineRule="auto"/>
              <w:jc w:val="left"/>
            </w:pPr>
            <w:r/>
            <w:r>
              <w:rPr>
                <w:rFonts w:ascii="Times New Roman" w:hAnsi="Times New Roman" w:eastAsia="Times New Roman"/>
                <w:b w:val="0"/>
                <w:sz w:val="17"/>
              </w:rPr>
              <w:t>Approve final claims and release</w:t>
            </w:r>
          </w:p>
        </w:tc>
      </w:tr>
    </w:tbl>
    <w:p>
      <w:r>
        <w:br w:type="page"/>
      </w:r>
    </w:p>
    <w:p>
      <w:pPr>
        <w:spacing w:before="80" w:after="60"/>
      </w:pPr>
      <w:r>
        <w:rPr>
          <w:rFonts w:ascii="Times New Roman" w:hAnsi="Times New Roman"/>
          <w:b/>
          <w:sz w:val="20"/>
        </w:rPr>
        <w:t>Table 2. Benchmark Comparison and Preliminary Results</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2232"/>
            <w:vAlign w:val="top"/>
            <w:shd w:fill="D9E1F2"/>
          </w:tcPr>
          <w:p>
            <w:pPr>
              <w:spacing w:after="0" w:line="240" w:lineRule="auto"/>
              <w:jc w:val="left"/>
            </w:pPr>
            <w:r/>
            <w:r>
              <w:rPr>
                <w:rFonts w:ascii="Times New Roman" w:hAnsi="Times New Roman" w:eastAsia="Times New Roman"/>
                <w:b/>
                <w:sz w:val="18"/>
              </w:rPr>
              <w:t>Validation Dimension</w:t>
            </w:r>
          </w:p>
        </w:tc>
        <w:tc>
          <w:tcPr>
            <w:tcW w:type="dxa" w:w="2952"/>
            <w:vAlign w:val="top"/>
            <w:shd w:fill="D9E1F2"/>
          </w:tcPr>
          <w:p>
            <w:pPr>
              <w:spacing w:after="0" w:line="240" w:lineRule="auto"/>
              <w:jc w:val="left"/>
            </w:pPr>
            <w:r/>
            <w:r>
              <w:rPr>
                <w:rFonts w:ascii="Times New Roman" w:hAnsi="Times New Roman" w:eastAsia="Times New Roman"/>
                <w:b/>
                <w:sz w:val="18"/>
              </w:rPr>
              <w:t>Metric / Evidence</w:t>
            </w:r>
          </w:p>
        </w:tc>
        <w:tc>
          <w:tcPr>
            <w:tcW w:type="dxa" w:w="2304"/>
            <w:vAlign w:val="top"/>
            <w:shd w:fill="D9E1F2"/>
          </w:tcPr>
          <w:p>
            <w:pPr>
              <w:spacing w:after="0" w:line="240" w:lineRule="auto"/>
              <w:jc w:val="left"/>
            </w:pPr>
            <w:r/>
            <w:r>
              <w:rPr>
                <w:rFonts w:ascii="Times New Roman" w:hAnsi="Times New Roman" w:eastAsia="Times New Roman"/>
                <w:b/>
                <w:sz w:val="18"/>
              </w:rPr>
              <w:t>Preliminary Status</w:t>
            </w:r>
          </w:p>
        </w:tc>
        <w:tc>
          <w:tcPr>
            <w:tcW w:type="dxa" w:w="2448"/>
            <w:vAlign w:val="top"/>
            <w:shd w:fill="D9E1F2"/>
          </w:tcPr>
          <w:p>
            <w:pPr>
              <w:spacing w:after="0" w:line="240" w:lineRule="auto"/>
              <w:jc w:val="left"/>
            </w:pPr>
            <w:r/>
            <w:r>
              <w:rPr>
                <w:rFonts w:ascii="Times New Roman" w:hAnsi="Times New Roman" w:eastAsia="Times New Roman"/>
                <w:b/>
                <w:sz w:val="18"/>
              </w:rPr>
              <w:t>Value to Insert</w:t>
            </w:r>
          </w:p>
        </w:tc>
        <w:tc>
          <w:tcPr>
            <w:tcW w:type="dxa" w:w="3384"/>
            <w:vAlign w:val="top"/>
            <w:shd w:fill="D9E1F2"/>
          </w:tcPr>
          <w:p>
            <w:pPr>
              <w:spacing w:after="0" w:line="240" w:lineRule="auto"/>
              <w:jc w:val="left"/>
            </w:pPr>
            <w:r/>
            <w:r>
              <w:rPr>
                <w:rFonts w:ascii="Times New Roman" w:hAnsi="Times New Roman" w:eastAsia="Times New Roman"/>
                <w:b/>
                <w:sz w:val="18"/>
              </w:rPr>
              <w:t>Interpretive Use</w:t>
            </w:r>
          </w:p>
        </w:tc>
      </w:tr>
      <w:tr>
        <w:tc>
          <w:tcPr>
            <w:tcW w:type="dxa" w:w="2232"/>
            <w:vAlign w:val="top"/>
          </w:tcPr>
          <w:p>
            <w:pPr>
              <w:spacing w:after="0" w:line="240" w:lineRule="auto"/>
              <w:jc w:val="left"/>
            </w:pPr>
            <w:r/>
            <w:r>
              <w:rPr>
                <w:rFonts w:ascii="Times New Roman" w:hAnsi="Times New Roman" w:eastAsia="Times New Roman"/>
                <w:b w:val="0"/>
                <w:sz w:val="17"/>
              </w:rPr>
              <w:t>Benchmark-paper retrieval</w:t>
            </w:r>
          </w:p>
        </w:tc>
        <w:tc>
          <w:tcPr>
            <w:tcW w:type="dxa" w:w="2952"/>
            <w:vAlign w:val="top"/>
          </w:tcPr>
          <w:p>
            <w:pPr>
              <w:spacing w:after="0" w:line="240" w:lineRule="auto"/>
              <w:jc w:val="left"/>
            </w:pPr>
            <w:r/>
            <w:r>
              <w:rPr>
                <w:rFonts w:ascii="Times New Roman" w:hAnsi="Times New Roman" w:eastAsia="Times New Roman"/>
                <w:b w:val="0"/>
                <w:sz w:val="17"/>
              </w:rPr>
              <w:t>Recovered benchmark studies / 28</w:t>
            </w:r>
          </w:p>
        </w:tc>
        <w:tc>
          <w:tcPr>
            <w:tcW w:type="dxa" w:w="2304"/>
            <w:vAlign w:val="top"/>
          </w:tcPr>
          <w:p>
            <w:pPr>
              <w:spacing w:after="0" w:line="240" w:lineRule="auto"/>
              <w:jc w:val="left"/>
            </w:pPr>
            <w:r/>
            <w:r>
              <w:rPr>
                <w:rFonts w:ascii="Times New Roman" w:hAnsi="Times New Roman" w:eastAsia="Times New Roman"/>
                <w:b w:val="0"/>
                <w:sz w:val="17"/>
              </w:rPr>
              <w:t>Incomplete</w:t>
            </w:r>
          </w:p>
        </w:tc>
        <w:tc>
          <w:tcPr>
            <w:tcW w:type="dxa" w:w="2448"/>
            <w:vAlign w:val="top"/>
          </w:tcPr>
          <w:p>
            <w:pPr>
              <w:spacing w:after="0" w:line="240" w:lineRule="auto"/>
              <w:jc w:val="left"/>
            </w:pPr>
            <w:r>
              <w:rPr>
                <w:rFonts w:ascii="Times New Roman" w:hAnsi="Times New Roman"/>
                <w:b w:val="0"/>
                <w:sz w:val="17"/>
              </w:rPr>
              <w:t>28/28; recall 100% after human review</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Determines corpus-level coverage</w:t>
            </w:r>
          </w:p>
        </w:tc>
      </w:tr>
      <w:tr>
        <w:tc>
          <w:tcPr>
            <w:tcW w:type="dxa" w:w="2232"/>
            <w:vAlign w:val="top"/>
          </w:tcPr>
          <w:p>
            <w:pPr>
              <w:spacing w:after="0" w:line="240" w:lineRule="auto"/>
              <w:jc w:val="left"/>
            </w:pPr>
            <w:r/>
            <w:r>
              <w:rPr>
                <w:rFonts w:ascii="Times New Roman" w:hAnsi="Times New Roman" w:eastAsia="Times New Roman"/>
                <w:b w:val="0"/>
                <w:sz w:val="17"/>
              </w:rPr>
              <w:t>Screening agreement</w:t>
            </w:r>
          </w:p>
        </w:tc>
        <w:tc>
          <w:tcPr>
            <w:tcW w:type="dxa" w:w="2952"/>
            <w:vAlign w:val="top"/>
          </w:tcPr>
          <w:p>
            <w:pPr>
              <w:spacing w:after="0" w:line="240" w:lineRule="auto"/>
              <w:jc w:val="left"/>
            </w:pPr>
            <w:r/>
            <w:r>
              <w:rPr>
                <w:rFonts w:ascii="Times New Roman" w:hAnsi="Times New Roman" w:eastAsia="Times New Roman"/>
                <w:b w:val="0"/>
                <w:sz w:val="17"/>
              </w:rPr>
              <w:t>TP, FP, FN; precision; recall; F1</w:t>
            </w:r>
          </w:p>
        </w:tc>
        <w:tc>
          <w:tcPr>
            <w:tcW w:type="dxa" w:w="2304"/>
            <w:vAlign w:val="top"/>
          </w:tcPr>
          <w:p>
            <w:pPr>
              <w:spacing w:after="0" w:line="240" w:lineRule="auto"/>
              <w:jc w:val="left"/>
            </w:pPr>
            <w:r/>
            <w:r>
              <w:rPr>
                <w:rFonts w:ascii="Times New Roman" w:hAnsi="Times New Roman" w:eastAsia="Times New Roman"/>
                <w:b w:val="0"/>
                <w:sz w:val="17"/>
              </w:rPr>
              <w:t>Substantial misses occurred</w:t>
            </w:r>
          </w:p>
        </w:tc>
        <w:tc>
          <w:tcPr>
            <w:tcW w:type="dxa" w:w="2448"/>
            <w:vAlign w:val="top"/>
          </w:tcPr>
          <w:p>
            <w:pPr>
              <w:spacing w:after="0" w:line="240" w:lineRule="auto"/>
              <w:jc w:val="left"/>
            </w:pPr>
            <w:r>
              <w:rPr>
                <w:rFonts w:ascii="Times New Roman" w:hAnsi="Times New Roman"/>
                <w:b w:val="0"/>
                <w:sz w:val="17"/>
              </w:rPr>
              <w:t>Recall 92.9% auto to 100% after review; 2 uncertain reviewed</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Locates eligibility-stage error</w:t>
            </w:r>
          </w:p>
        </w:tc>
      </w:tr>
      <w:tr>
        <w:tc>
          <w:tcPr>
            <w:tcW w:type="dxa" w:w="2232"/>
            <w:vAlign w:val="top"/>
          </w:tcPr>
          <w:p>
            <w:pPr>
              <w:spacing w:after="0" w:line="240" w:lineRule="auto"/>
              <w:jc w:val="left"/>
            </w:pPr>
            <w:r/>
            <w:r>
              <w:rPr>
                <w:rFonts w:ascii="Times New Roman" w:hAnsi="Times New Roman" w:eastAsia="Times New Roman"/>
                <w:b w:val="0"/>
                <w:sz w:val="17"/>
              </w:rPr>
              <w:t>CMOC generation</w:t>
            </w:r>
          </w:p>
        </w:tc>
        <w:tc>
          <w:tcPr>
            <w:tcW w:type="dxa" w:w="2952"/>
            <w:vAlign w:val="top"/>
          </w:tcPr>
          <w:p>
            <w:pPr>
              <w:spacing w:after="0" w:line="240" w:lineRule="auto"/>
              <w:jc w:val="left"/>
            </w:pPr>
            <w:r/>
            <w:r>
              <w:rPr>
                <w:rFonts w:ascii="Times New Roman" w:hAnsi="Times New Roman" w:eastAsia="Times New Roman"/>
                <w:b w:val="0"/>
                <w:sz w:val="17"/>
              </w:rPr>
              <w:t>Candidate configurations produced</w:t>
            </w:r>
          </w:p>
        </w:tc>
        <w:tc>
          <w:tcPr>
            <w:tcW w:type="dxa" w:w="2304"/>
            <w:vAlign w:val="top"/>
          </w:tcPr>
          <w:p>
            <w:pPr>
              <w:spacing w:after="0" w:line="240" w:lineRule="auto"/>
              <w:jc w:val="left"/>
            </w:pPr>
            <w:r/>
            <w:r>
              <w:rPr>
                <w:rFonts w:ascii="Times New Roman" w:hAnsi="Times New Roman" w:eastAsia="Times New Roman"/>
                <w:b w:val="0"/>
                <w:sz w:val="17"/>
              </w:rPr>
              <w:t>Approximately 57 generated</w:t>
            </w:r>
          </w:p>
        </w:tc>
        <w:tc>
          <w:tcPr>
            <w:tcW w:type="dxa" w:w="2448"/>
            <w:vAlign w:val="top"/>
          </w:tcPr>
          <w:p>
            <w:pPr>
              <w:spacing w:after="0" w:line="240" w:lineRule="auto"/>
              <w:jc w:val="left"/>
            </w:pPr>
            <w:r>
              <w:rPr>
                <w:rFonts w:ascii="Times New Roman" w:hAnsi="Times New Roman"/>
                <w:b w:val="0"/>
                <w:sz w:val="17"/>
              </w:rPr>
              <w:t>91 retained</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Measures output scale, not validity</w:t>
            </w:r>
          </w:p>
        </w:tc>
      </w:tr>
      <w:tr>
        <w:tc>
          <w:tcPr>
            <w:tcW w:type="dxa" w:w="2232"/>
            <w:vAlign w:val="top"/>
          </w:tcPr>
          <w:p>
            <w:pPr>
              <w:spacing w:after="0" w:line="240" w:lineRule="auto"/>
              <w:jc w:val="left"/>
            </w:pPr>
            <w:r/>
            <w:r>
              <w:rPr>
                <w:rFonts w:ascii="Times New Roman" w:hAnsi="Times New Roman" w:eastAsia="Times New Roman"/>
                <w:b w:val="0"/>
                <w:sz w:val="17"/>
              </w:rPr>
              <w:t>Exact CMOC agreement</w:t>
            </w:r>
          </w:p>
        </w:tc>
        <w:tc>
          <w:tcPr>
            <w:tcW w:type="dxa" w:w="2952"/>
            <w:vAlign w:val="top"/>
          </w:tcPr>
          <w:p>
            <w:pPr>
              <w:spacing w:after="0" w:line="240" w:lineRule="auto"/>
              <w:jc w:val="left"/>
            </w:pPr>
            <w:r/>
            <w:r>
              <w:rPr>
                <w:rFonts w:ascii="Times New Roman" w:hAnsi="Times New Roman" w:eastAsia="Times New Roman"/>
                <w:b w:val="0"/>
                <w:sz w:val="17"/>
              </w:rPr>
              <w:t>All benchmark fields aligned</w:t>
            </w:r>
          </w:p>
        </w:tc>
        <w:tc>
          <w:tcPr>
            <w:tcW w:type="dxa" w:w="2304"/>
            <w:vAlign w:val="top"/>
          </w:tcPr>
          <w:p>
            <w:pPr>
              <w:spacing w:after="0" w:line="240" w:lineRule="auto"/>
              <w:jc w:val="left"/>
            </w:pPr>
            <w:r/>
            <w:r>
              <w:rPr>
                <w:rFonts w:ascii="Times New Roman" w:hAnsi="Times New Roman" w:eastAsia="Times New Roman"/>
                <w:b w:val="0"/>
                <w:sz w:val="17"/>
              </w:rPr>
              <w:t>Few exact matches</w:t>
            </w:r>
          </w:p>
        </w:tc>
        <w:tc>
          <w:tcPr>
            <w:tcW w:type="dxa" w:w="2448"/>
            <w:vAlign w:val="top"/>
          </w:tcPr>
          <w:p>
            <w:pPr>
              <w:spacing w:after="0" w:line="240" w:lineRule="auto"/>
              <w:jc w:val="left"/>
            </w:pPr>
            <w:r>
              <w:rPr>
                <w:rFonts w:ascii="Times New Roman" w:hAnsi="Times New Roman"/>
                <w:b w:val="0"/>
                <w:sz w:val="17"/>
              </w:rPr>
              <w:t>Concepts 37/47 (78.7%); relations 0/40 auto to 15/40 normalized</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Conservative reproducibility test</w:t>
            </w:r>
          </w:p>
        </w:tc>
      </w:tr>
      <w:tr>
        <w:tc>
          <w:tcPr>
            <w:tcW w:type="dxa" w:w="2232"/>
            <w:vAlign w:val="top"/>
          </w:tcPr>
          <w:p>
            <w:pPr>
              <w:spacing w:after="0" w:line="240" w:lineRule="auto"/>
              <w:jc w:val="left"/>
            </w:pPr>
            <w:r/>
            <w:r>
              <w:rPr>
                <w:rFonts w:ascii="Times New Roman" w:hAnsi="Times New Roman" w:eastAsia="Times New Roman"/>
                <w:b w:val="0"/>
                <w:sz w:val="17"/>
              </w:rPr>
              <w:t>Conceptual/partial agreement</w:t>
            </w:r>
          </w:p>
        </w:tc>
        <w:tc>
          <w:tcPr>
            <w:tcW w:type="dxa" w:w="2952"/>
            <w:vAlign w:val="top"/>
          </w:tcPr>
          <w:p>
            <w:pPr>
              <w:spacing w:after="0" w:line="240" w:lineRule="auto"/>
              <w:jc w:val="left"/>
            </w:pPr>
            <w:r/>
            <w:r>
              <w:rPr>
                <w:rFonts w:ascii="Times New Roman" w:hAnsi="Times New Roman" w:eastAsia="Times New Roman"/>
                <w:b w:val="0"/>
                <w:sz w:val="17"/>
              </w:rPr>
              <w:t>Relationship-level adjudication</w:t>
            </w:r>
          </w:p>
        </w:tc>
        <w:tc>
          <w:tcPr>
            <w:tcW w:type="dxa" w:w="2304"/>
            <w:vAlign w:val="top"/>
          </w:tcPr>
          <w:p>
            <w:pPr>
              <w:spacing w:after="0" w:line="240" w:lineRule="auto"/>
              <w:jc w:val="left"/>
            </w:pPr>
            <w:r/>
            <w:r>
              <w:rPr>
                <w:rFonts w:ascii="Times New Roman" w:hAnsi="Times New Roman" w:eastAsia="Times New Roman"/>
                <w:b w:val="0"/>
                <w:sz w:val="17"/>
              </w:rPr>
              <w:t>Pending final adjudication</w:t>
            </w:r>
          </w:p>
        </w:tc>
        <w:tc>
          <w:tcPr>
            <w:tcW w:type="dxa" w:w="2448"/>
            <w:vAlign w:val="top"/>
          </w:tcPr>
          <w:p>
            <w:pPr>
              <w:spacing w:after="0" w:line="240" w:lineRule="auto"/>
              <w:jc w:val="left"/>
            </w:pPr>
            <w:r>
              <w:rPr>
                <w:rFonts w:ascii="Times New Roman" w:hAnsi="Times New Roman"/>
                <w:b w:val="0"/>
                <w:sz w:val="17"/>
              </w:rPr>
              <w:t>Concepts 43/47 (91.5%); relations 39/40 pattern (97.5%)</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Captures defensible wording/granularity differences</w:t>
            </w:r>
          </w:p>
        </w:tc>
      </w:tr>
      <w:tr>
        <w:tc>
          <w:tcPr>
            <w:tcW w:type="dxa" w:w="2232"/>
            <w:vAlign w:val="top"/>
          </w:tcPr>
          <w:p>
            <w:pPr>
              <w:spacing w:after="0" w:line="240" w:lineRule="auto"/>
              <w:jc w:val="left"/>
            </w:pPr>
            <w:r/>
            <w:r>
              <w:rPr>
                <w:rFonts w:ascii="Times New Roman" w:hAnsi="Times New Roman" w:eastAsia="Times New Roman"/>
                <w:b w:val="0"/>
                <w:sz w:val="17"/>
              </w:rPr>
              <w:t>Unsupported configurations</w:t>
            </w:r>
          </w:p>
        </w:tc>
        <w:tc>
          <w:tcPr>
            <w:tcW w:type="dxa" w:w="2952"/>
            <w:vAlign w:val="top"/>
          </w:tcPr>
          <w:p>
            <w:pPr>
              <w:spacing w:after="0" w:line="240" w:lineRule="auto"/>
              <w:jc w:val="left"/>
            </w:pPr>
            <w:r/>
            <w:r>
              <w:rPr>
                <w:rFonts w:ascii="Times New Roman" w:hAnsi="Times New Roman" w:eastAsia="Times New Roman"/>
                <w:b w:val="0"/>
                <w:sz w:val="17"/>
              </w:rPr>
              <w:t>Claim not supported by cited passage</w:t>
            </w:r>
          </w:p>
        </w:tc>
        <w:tc>
          <w:tcPr>
            <w:tcW w:type="dxa" w:w="2304"/>
            <w:vAlign w:val="top"/>
          </w:tcPr>
          <w:p>
            <w:pPr>
              <w:spacing w:after="0" w:line="240" w:lineRule="auto"/>
              <w:jc w:val="left"/>
            </w:pPr>
            <w:r/>
            <w:r>
              <w:rPr>
                <w:rFonts w:ascii="Times New Roman" w:hAnsi="Times New Roman" w:eastAsia="Times New Roman"/>
                <w:b w:val="0"/>
                <w:sz w:val="17"/>
              </w:rPr>
              <w:t>Observed</w:t>
            </w:r>
          </w:p>
        </w:tc>
        <w:tc>
          <w:tcPr>
            <w:tcW w:type="dxa" w:w="2448"/>
            <w:vAlign w:val="top"/>
          </w:tcPr>
          <w:p>
            <w:pPr>
              <w:spacing w:after="0" w:line="240" w:lineRule="auto"/>
              <w:jc w:val="left"/>
            </w:pPr>
            <w:r>
              <w:rPr>
                <w:rFonts w:ascii="Times New Roman" w:hAnsi="Times New Roman"/>
                <w:b w:val="0"/>
                <w:sz w:val="17"/>
              </w:rPr>
              <w:t>Not separately quantified this run; flagged for next iteration</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Assesses inference and hallucination risk</w:t>
            </w:r>
          </w:p>
        </w:tc>
      </w:tr>
      <w:tr>
        <w:tc>
          <w:tcPr>
            <w:tcW w:type="dxa" w:w="2232"/>
            <w:vAlign w:val="top"/>
          </w:tcPr>
          <w:p>
            <w:pPr>
              <w:spacing w:after="0" w:line="240" w:lineRule="auto"/>
              <w:jc w:val="left"/>
            </w:pPr>
            <w:r/>
            <w:r>
              <w:rPr>
                <w:rFonts w:ascii="Times New Roman" w:hAnsi="Times New Roman" w:eastAsia="Times New Roman"/>
                <w:b w:val="0"/>
                <w:sz w:val="17"/>
              </w:rPr>
              <w:t>Context coverage</w:t>
            </w:r>
          </w:p>
        </w:tc>
        <w:tc>
          <w:tcPr>
            <w:tcW w:type="dxa" w:w="2952"/>
            <w:vAlign w:val="top"/>
          </w:tcPr>
          <w:p>
            <w:pPr>
              <w:spacing w:after="0" w:line="240" w:lineRule="auto"/>
              <w:jc w:val="left"/>
            </w:pPr>
            <w:r/>
            <w:r>
              <w:rPr>
                <w:rFonts w:ascii="Times New Roman" w:hAnsi="Times New Roman" w:eastAsia="Times New Roman"/>
                <w:b w:val="0"/>
                <w:sz w:val="17"/>
              </w:rPr>
              <w:t>Benchmark contexts represented</w:t>
            </w:r>
          </w:p>
        </w:tc>
        <w:tc>
          <w:tcPr>
            <w:tcW w:type="dxa" w:w="2304"/>
            <w:vAlign w:val="top"/>
          </w:tcPr>
          <w:p>
            <w:pPr>
              <w:spacing w:after="0" w:line="240" w:lineRule="auto"/>
              <w:jc w:val="left"/>
            </w:pPr>
            <w:r/>
            <w:r>
              <w:rPr>
                <w:rFonts w:ascii="Times New Roman" w:hAnsi="Times New Roman" w:eastAsia="Times New Roman"/>
                <w:b w:val="0"/>
                <w:sz w:val="17"/>
              </w:rPr>
              <w:t>Limited</w:t>
            </w:r>
          </w:p>
        </w:tc>
        <w:tc>
          <w:tcPr>
            <w:tcW w:type="dxa" w:w="2448"/>
            <w:vAlign w:val="top"/>
          </w:tcPr>
          <w:p>
            <w:pPr>
              <w:spacing w:after="0" w:line="240" w:lineRule="auto"/>
              <w:jc w:val="left"/>
            </w:pPr>
            <w:r>
              <w:rPr>
                <w:rFonts w:ascii="Times New Roman" w:hAnsi="Times New Roman"/>
                <w:b w:val="0"/>
                <w:sz w:val="17"/>
              </w:rPr>
              <w:t>4 of 6 student-context types (missing low-self-efficacy; mixed-knowledge group)</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Assesses sensitivity to setting/population</w:t>
            </w:r>
          </w:p>
        </w:tc>
      </w:tr>
      <w:tr>
        <w:tc>
          <w:tcPr>
            <w:tcW w:type="dxa" w:w="2232"/>
            <w:vAlign w:val="top"/>
          </w:tcPr>
          <w:p>
            <w:pPr>
              <w:spacing w:after="0" w:line="240" w:lineRule="auto"/>
              <w:jc w:val="left"/>
            </w:pPr>
            <w:r/>
            <w:r>
              <w:rPr>
                <w:rFonts w:ascii="Times New Roman" w:hAnsi="Times New Roman" w:eastAsia="Times New Roman"/>
                <w:b w:val="0"/>
                <w:sz w:val="17"/>
              </w:rPr>
              <w:t>Citation faithfulness</w:t>
            </w:r>
          </w:p>
        </w:tc>
        <w:tc>
          <w:tcPr>
            <w:tcW w:type="dxa" w:w="2952"/>
            <w:vAlign w:val="top"/>
          </w:tcPr>
          <w:p>
            <w:pPr>
              <w:spacing w:after="0" w:line="240" w:lineRule="auto"/>
              <w:jc w:val="left"/>
            </w:pPr>
            <w:r/>
            <w:r>
              <w:rPr>
                <w:rFonts w:ascii="Times New Roman" w:hAnsi="Times New Roman" w:eastAsia="Times New Roman"/>
                <w:b w:val="0"/>
                <w:sz w:val="17"/>
              </w:rPr>
              <w:t>Claims entailed by cited passages</w:t>
            </w:r>
          </w:p>
        </w:tc>
        <w:tc>
          <w:tcPr>
            <w:tcW w:type="dxa" w:w="2304"/>
            <w:vAlign w:val="top"/>
          </w:tcPr>
          <w:p>
            <w:pPr>
              <w:spacing w:after="0" w:line="240" w:lineRule="auto"/>
              <w:jc w:val="left"/>
            </w:pPr>
            <w:r/>
            <w:r>
              <w:rPr>
                <w:rFonts w:ascii="Times New Roman" w:hAnsi="Times New Roman" w:eastAsia="Times New Roman"/>
                <w:b w:val="0"/>
                <w:sz w:val="17"/>
              </w:rPr>
              <w:t>Pending verification</w:t>
            </w:r>
          </w:p>
        </w:tc>
        <w:tc>
          <w:tcPr>
            <w:tcW w:type="dxa" w:w="2448"/>
            <w:vAlign w:val="top"/>
          </w:tcPr>
          <w:p>
            <w:pPr>
              <w:spacing w:after="0" w:line="240" w:lineRule="auto"/>
              <w:jc w:val="left"/>
            </w:pPr>
            <w:r>
              <w:rPr>
                <w:rFonts w:ascii="Times New Roman" w:hAnsi="Times New Roman"/>
                <w:b w:val="0"/>
                <w:sz w:val="17"/>
              </w:rPr>
              <w:t>96.9% (501/517)</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Tests evidence traceability</w:t>
            </w:r>
          </w:p>
        </w:tc>
      </w:tr>
      <w:tr>
        <w:tc>
          <w:tcPr>
            <w:tcW w:type="dxa" w:w="2232"/>
            <w:vAlign w:val="top"/>
          </w:tcPr>
          <w:p>
            <w:pPr>
              <w:spacing w:after="0" w:line="240" w:lineRule="auto"/>
              <w:jc w:val="left"/>
            </w:pPr>
            <w:r/>
            <w:r>
              <w:rPr>
                <w:rFonts w:ascii="Times New Roman" w:hAnsi="Times New Roman" w:eastAsia="Times New Roman"/>
                <w:b w:val="0"/>
                <w:sz w:val="17"/>
              </w:rPr>
              <w:t>Contradiction detection</w:t>
            </w:r>
          </w:p>
        </w:tc>
        <w:tc>
          <w:tcPr>
            <w:tcW w:type="dxa" w:w="2952"/>
            <w:vAlign w:val="top"/>
          </w:tcPr>
          <w:p>
            <w:pPr>
              <w:spacing w:after="0" w:line="240" w:lineRule="auto"/>
              <w:jc w:val="left"/>
            </w:pPr>
            <w:r/>
            <w:r>
              <w:rPr>
                <w:rFonts w:ascii="Times New Roman" w:hAnsi="Times New Roman" w:eastAsia="Times New Roman"/>
                <w:b w:val="0"/>
                <w:sz w:val="17"/>
              </w:rPr>
              <w:t>Known/novel contradictions identified</w:t>
            </w:r>
          </w:p>
        </w:tc>
        <w:tc>
          <w:tcPr>
            <w:tcW w:type="dxa" w:w="2304"/>
            <w:vAlign w:val="top"/>
          </w:tcPr>
          <w:p>
            <w:pPr>
              <w:spacing w:after="0" w:line="240" w:lineRule="auto"/>
              <w:jc w:val="left"/>
            </w:pPr>
            <w:r/>
            <w:r>
              <w:rPr>
                <w:rFonts w:ascii="Times New Roman" w:hAnsi="Times New Roman" w:eastAsia="Times New Roman"/>
                <w:b w:val="0"/>
                <w:sz w:val="17"/>
              </w:rPr>
              <w:t>Function incomplete</w:t>
            </w:r>
          </w:p>
        </w:tc>
        <w:tc>
          <w:tcPr>
            <w:tcW w:type="dxa" w:w="2448"/>
            <w:vAlign w:val="top"/>
          </w:tcPr>
          <w:p>
            <w:pPr>
              <w:spacing w:after="0" w:line="240" w:lineRule="auto"/>
              <w:jc w:val="left"/>
            </w:pPr>
            <w:r>
              <w:rPr>
                <w:rFonts w:ascii="Times New Roman" w:hAnsi="Times New Roman"/>
                <w:b w:val="0"/>
                <w:sz w:val="17"/>
              </w:rPr>
              <w:t>14 contradictions; 36 demi-regularities</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Tests higher-order synthesis</w:t>
            </w:r>
          </w:p>
        </w:tc>
      </w:tr>
      <w:tr>
        <w:tc>
          <w:tcPr>
            <w:tcW w:type="dxa" w:w="2232"/>
            <w:vAlign w:val="top"/>
          </w:tcPr>
          <w:p>
            <w:pPr>
              <w:spacing w:after="0" w:line="240" w:lineRule="auto"/>
              <w:jc w:val="left"/>
            </w:pPr>
            <w:r/>
            <w:r>
              <w:rPr>
                <w:rFonts w:ascii="Times New Roman" w:hAnsi="Times New Roman" w:eastAsia="Times New Roman"/>
                <w:b w:val="0"/>
                <w:sz w:val="17"/>
              </w:rPr>
              <w:t>Programme-theory correspondence</w:t>
            </w:r>
          </w:p>
        </w:tc>
        <w:tc>
          <w:tcPr>
            <w:tcW w:type="dxa" w:w="2952"/>
            <w:vAlign w:val="top"/>
          </w:tcPr>
          <w:p>
            <w:pPr>
              <w:spacing w:after="0" w:line="240" w:lineRule="auto"/>
              <w:jc w:val="left"/>
            </w:pPr>
            <w:r/>
            <w:r>
              <w:rPr>
                <w:rFonts w:ascii="Times New Roman" w:hAnsi="Times New Roman" w:eastAsia="Times New Roman"/>
                <w:b w:val="0"/>
                <w:sz w:val="17"/>
              </w:rPr>
              <w:t>Alignment with benchmark theory</w:t>
            </w:r>
          </w:p>
        </w:tc>
        <w:tc>
          <w:tcPr>
            <w:tcW w:type="dxa" w:w="2304"/>
            <w:vAlign w:val="top"/>
          </w:tcPr>
          <w:p>
            <w:pPr>
              <w:spacing w:after="0" w:line="240" w:lineRule="auto"/>
              <w:jc w:val="left"/>
            </w:pPr>
            <w:r/>
            <w:r>
              <w:rPr>
                <w:rFonts w:ascii="Times New Roman" w:hAnsi="Times New Roman" w:eastAsia="Times New Roman"/>
                <w:b w:val="0"/>
                <w:sz w:val="17"/>
              </w:rPr>
              <w:t>Preliminary and incomplete</w:t>
            </w:r>
          </w:p>
        </w:tc>
        <w:tc>
          <w:tcPr>
            <w:tcW w:type="dxa" w:w="2448"/>
            <w:vAlign w:val="top"/>
          </w:tcPr>
          <w:p>
            <w:pPr>
              <w:spacing w:after="0" w:line="240" w:lineRule="auto"/>
              <w:jc w:val="left"/>
            </w:pPr>
            <w:r>
              <w:rPr>
                <w:rFonts w:ascii="Times New Roman" w:hAnsi="Times New Roman"/>
                <w:b w:val="0"/>
                <w:sz w:val="17"/>
              </w:rPr>
              <w:t>0.54 mean (model-judged; strongest 0.89); expert rating pending</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Tests interpretive synthesis</w:t>
            </w:r>
          </w:p>
        </w:tc>
      </w:tr>
      <w:tr>
        <w:tc>
          <w:tcPr>
            <w:tcW w:type="dxa" w:w="2232"/>
            <w:vAlign w:val="top"/>
          </w:tcPr>
          <w:p>
            <w:pPr>
              <w:spacing w:after="0" w:line="240" w:lineRule="auto"/>
              <w:jc w:val="left"/>
            </w:pPr>
            <w:r/>
            <w:r>
              <w:rPr>
                <w:rFonts w:ascii="Times New Roman" w:hAnsi="Times New Roman" w:eastAsia="Times New Roman"/>
                <w:b w:val="0"/>
                <w:sz w:val="17"/>
              </w:rPr>
              <w:t>Human effort</w:t>
            </w:r>
          </w:p>
        </w:tc>
        <w:tc>
          <w:tcPr>
            <w:tcW w:type="dxa" w:w="2952"/>
            <w:vAlign w:val="top"/>
          </w:tcPr>
          <w:p>
            <w:pPr>
              <w:spacing w:after="0" w:line="240" w:lineRule="auto"/>
              <w:jc w:val="left"/>
            </w:pPr>
            <w:r/>
            <w:r>
              <w:rPr>
                <w:rFonts w:ascii="Times New Roman" w:hAnsi="Times New Roman" w:eastAsia="Times New Roman"/>
                <w:b w:val="0"/>
                <w:sz w:val="17"/>
              </w:rPr>
              <w:t>Minutes/hours by adjudication stage</w:t>
            </w:r>
          </w:p>
        </w:tc>
        <w:tc>
          <w:tcPr>
            <w:tcW w:type="dxa" w:w="2304"/>
            <w:vAlign w:val="top"/>
          </w:tcPr>
          <w:p>
            <w:pPr>
              <w:spacing w:after="0" w:line="240" w:lineRule="auto"/>
              <w:jc w:val="left"/>
            </w:pPr>
            <w:r/>
            <w:r>
              <w:rPr>
                <w:rFonts w:ascii="Times New Roman" w:hAnsi="Times New Roman" w:eastAsia="Times New Roman"/>
                <w:b w:val="0"/>
                <w:sz w:val="17"/>
              </w:rPr>
              <w:t>Not yet finalized</w:t>
            </w:r>
          </w:p>
        </w:tc>
        <w:tc>
          <w:tcPr>
            <w:tcW w:type="dxa" w:w="2448"/>
            <w:vAlign w:val="top"/>
          </w:tcPr>
          <w:p>
            <w:pPr>
              <w:spacing w:after="0" w:line="240" w:lineRule="auto"/>
              <w:jc w:val="left"/>
            </w:pPr>
            <w:r>
              <w:rPr>
                <w:rFonts w:ascii="Times New Roman" w:hAnsi="Times New Roman"/>
                <w:b w:val="0"/>
                <w:sz w:val="17"/>
              </w:rPr>
              <w:t>Screening ~5 min (2 papers); concept/relation normalization ongoing</w:t>
            </w:r>
            <w:r>
              <w:rPr>
                <w:rFonts w:ascii="Times New Roman" w:hAnsi="Times New Roman" w:eastAsia="Times New Roman"/>
                <w:b w:val="0"/>
                <w:sz w:val="17"/>
              </w:rPr>
            </w:r>
            <w:r>
              <w:rPr>
                <w:rFonts w:ascii="Times New Roman" w:hAnsi="Times New Roman" w:eastAsia="Times New Roman"/>
                <w:b/>
                <w:sz w:val="17"/>
              </w:rPr>
            </w:r>
            <w:r>
              <w:rPr>
                <w:rFonts w:ascii="Times New Roman" w:hAnsi="Times New Roman" w:eastAsia="Times New Roman"/>
                <w:b w:val="0"/>
                <w:sz w:val="17"/>
              </w:rPr>
            </w:r>
          </w:p>
        </w:tc>
        <w:tc>
          <w:tcPr>
            <w:tcW w:type="dxa" w:w="3384"/>
            <w:vAlign w:val="top"/>
          </w:tcPr>
          <w:p>
            <w:pPr>
              <w:spacing w:after="0" w:line="240" w:lineRule="auto"/>
              <w:jc w:val="left"/>
            </w:pPr>
            <w:r/>
            <w:r>
              <w:rPr>
                <w:rFonts w:ascii="Times New Roman" w:hAnsi="Times New Roman" w:eastAsia="Times New Roman"/>
                <w:b w:val="0"/>
                <w:sz w:val="17"/>
              </w:rPr>
              <w:t>Required for valid efficiency claims</w:t>
            </w:r>
          </w:p>
        </w:tc>
      </w:tr>
    </w:tbl>
    <w:p>
      <w:r>
        <w:br w:type="page"/>
      </w:r>
    </w:p>
    <w:p>
      <w:pPr>
        <w:spacing w:before="80" w:after="60"/>
      </w:pPr>
      <w:r>
        <w:rPr>
          <w:rFonts w:ascii="Times New Roman" w:hAnsi="Times New Roman"/>
          <w:b/>
          <w:sz w:val="20"/>
        </w:rPr>
        <w:t>Table 3. Preliminary AI Error Taxonomy</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2088"/>
            <w:vAlign w:val="top"/>
            <w:shd w:fill="D9E1F2"/>
          </w:tcPr>
          <w:p>
            <w:pPr>
              <w:spacing w:after="0" w:line="240" w:lineRule="auto"/>
              <w:jc w:val="left"/>
            </w:pPr>
            <w:r/>
            <w:r>
              <w:rPr>
                <w:rFonts w:ascii="Times New Roman" w:hAnsi="Times New Roman" w:eastAsia="Times New Roman"/>
                <w:b/>
                <w:sz w:val="18"/>
              </w:rPr>
              <w:t>Error Class</w:t>
            </w:r>
          </w:p>
        </w:tc>
        <w:tc>
          <w:tcPr>
            <w:tcW w:type="dxa" w:w="2952"/>
            <w:vAlign w:val="top"/>
            <w:shd w:fill="D9E1F2"/>
          </w:tcPr>
          <w:p>
            <w:pPr>
              <w:spacing w:after="0" w:line="240" w:lineRule="auto"/>
              <w:jc w:val="left"/>
            </w:pPr>
            <w:r/>
            <w:r>
              <w:rPr>
                <w:rFonts w:ascii="Times New Roman" w:hAnsi="Times New Roman" w:eastAsia="Times New Roman"/>
                <w:b/>
                <w:sz w:val="18"/>
              </w:rPr>
              <w:t>Typical Manifestation</w:t>
            </w:r>
          </w:p>
        </w:tc>
        <w:tc>
          <w:tcPr>
            <w:tcW w:type="dxa" w:w="2880"/>
            <w:vAlign w:val="top"/>
            <w:shd w:fill="D9E1F2"/>
          </w:tcPr>
          <w:p>
            <w:pPr>
              <w:spacing w:after="0" w:line="240" w:lineRule="auto"/>
              <w:jc w:val="left"/>
            </w:pPr>
            <w:r/>
            <w:r>
              <w:rPr>
                <w:rFonts w:ascii="Times New Roman" w:hAnsi="Times New Roman" w:eastAsia="Times New Roman"/>
                <w:b/>
                <w:sz w:val="18"/>
              </w:rPr>
              <w:t>Methodological Risk</w:t>
            </w:r>
          </w:p>
        </w:tc>
        <w:tc>
          <w:tcPr>
            <w:tcW w:type="dxa" w:w="2232"/>
            <w:vAlign w:val="top"/>
            <w:shd w:fill="D9E1F2"/>
          </w:tcPr>
          <w:p>
            <w:pPr>
              <w:spacing w:after="0" w:line="240" w:lineRule="auto"/>
              <w:jc w:val="left"/>
            </w:pPr>
            <w:r/>
            <w:r>
              <w:rPr>
                <w:rFonts w:ascii="Times New Roman" w:hAnsi="Times New Roman" w:eastAsia="Times New Roman"/>
                <w:b/>
                <w:sz w:val="18"/>
              </w:rPr>
              <w:t>Detection</w:t>
            </w:r>
          </w:p>
        </w:tc>
        <w:tc>
          <w:tcPr>
            <w:tcW w:type="dxa" w:w="3240"/>
            <w:vAlign w:val="top"/>
            <w:shd w:fill="D9E1F2"/>
          </w:tcPr>
          <w:p>
            <w:pPr>
              <w:spacing w:after="0" w:line="240" w:lineRule="auto"/>
              <w:jc w:val="left"/>
            </w:pPr>
            <w:r/>
            <w:r>
              <w:rPr>
                <w:rFonts w:ascii="Times New Roman" w:hAnsi="Times New Roman" w:eastAsia="Times New Roman"/>
                <w:b/>
                <w:sz w:val="18"/>
              </w:rPr>
              <w:t>Correction / Prevention</w:t>
            </w:r>
          </w:p>
        </w:tc>
      </w:tr>
      <w:tr>
        <w:tc>
          <w:tcPr>
            <w:tcW w:type="dxa" w:w="2088"/>
            <w:vAlign w:val="top"/>
          </w:tcPr>
          <w:p>
            <w:pPr>
              <w:spacing w:after="0" w:line="240" w:lineRule="auto"/>
              <w:jc w:val="left"/>
            </w:pPr>
            <w:r/>
            <w:r>
              <w:rPr>
                <w:rFonts w:ascii="Times New Roman" w:hAnsi="Times New Roman" w:eastAsia="Times New Roman"/>
                <w:b w:val="0"/>
                <w:sz w:val="17"/>
              </w:rPr>
              <w:t>Retrieval omission</w:t>
            </w:r>
          </w:p>
        </w:tc>
        <w:tc>
          <w:tcPr>
            <w:tcW w:type="dxa" w:w="2952"/>
            <w:vAlign w:val="top"/>
          </w:tcPr>
          <w:p>
            <w:pPr>
              <w:spacing w:after="0" w:line="240" w:lineRule="auto"/>
              <w:jc w:val="left"/>
            </w:pPr>
            <w:r/>
            <w:r>
              <w:rPr>
                <w:rFonts w:ascii="Times New Roman" w:hAnsi="Times New Roman" w:eastAsia="Times New Roman"/>
                <w:b w:val="0"/>
                <w:sz w:val="17"/>
              </w:rPr>
              <w:t>Relevant or benchmark paper not acquired</w:t>
            </w:r>
          </w:p>
        </w:tc>
        <w:tc>
          <w:tcPr>
            <w:tcW w:type="dxa" w:w="2880"/>
            <w:vAlign w:val="top"/>
          </w:tcPr>
          <w:p>
            <w:pPr>
              <w:spacing w:after="0" w:line="240" w:lineRule="auto"/>
              <w:jc w:val="left"/>
            </w:pPr>
            <w:r/>
            <w:r>
              <w:rPr>
                <w:rFonts w:ascii="Times New Roman" w:hAnsi="Times New Roman" w:eastAsia="Times New Roman"/>
                <w:b w:val="0"/>
                <w:sz w:val="17"/>
              </w:rPr>
              <w:t>Downstream evidence absent</w:t>
            </w:r>
          </w:p>
        </w:tc>
        <w:tc>
          <w:tcPr>
            <w:tcW w:type="dxa" w:w="2232"/>
            <w:vAlign w:val="top"/>
          </w:tcPr>
          <w:p>
            <w:pPr>
              <w:spacing w:after="0" w:line="240" w:lineRule="auto"/>
              <w:jc w:val="left"/>
            </w:pPr>
            <w:r/>
            <w:r>
              <w:rPr>
                <w:rFonts w:ascii="Times New Roman" w:hAnsi="Times New Roman" w:eastAsia="Times New Roman"/>
                <w:b w:val="0"/>
                <w:sz w:val="17"/>
              </w:rPr>
              <w:t>Benchmark recall; access log</w:t>
            </w:r>
          </w:p>
        </w:tc>
        <w:tc>
          <w:tcPr>
            <w:tcW w:type="dxa" w:w="3240"/>
            <w:vAlign w:val="top"/>
          </w:tcPr>
          <w:p>
            <w:pPr>
              <w:spacing w:after="0" w:line="240" w:lineRule="auto"/>
              <w:jc w:val="left"/>
            </w:pPr>
            <w:r/>
            <w:r>
              <w:rPr>
                <w:rFonts w:ascii="Times New Roman" w:hAnsi="Times New Roman" w:eastAsia="Times New Roman"/>
                <w:b w:val="0"/>
                <w:sz w:val="17"/>
              </w:rPr>
              <w:t>Expand search; repair identifiers; human coverage check</w:t>
            </w:r>
          </w:p>
        </w:tc>
      </w:tr>
      <w:tr>
        <w:tc>
          <w:tcPr>
            <w:tcW w:type="dxa" w:w="2088"/>
            <w:vAlign w:val="top"/>
          </w:tcPr>
          <w:p>
            <w:pPr>
              <w:spacing w:after="0" w:line="240" w:lineRule="auto"/>
              <w:jc w:val="left"/>
            </w:pPr>
            <w:r/>
            <w:r>
              <w:rPr>
                <w:rFonts w:ascii="Times New Roman" w:hAnsi="Times New Roman" w:eastAsia="Times New Roman"/>
                <w:b w:val="0"/>
                <w:sz w:val="17"/>
              </w:rPr>
              <w:t>Screening exclusion</w:t>
            </w:r>
          </w:p>
        </w:tc>
        <w:tc>
          <w:tcPr>
            <w:tcW w:type="dxa" w:w="2952"/>
            <w:vAlign w:val="top"/>
          </w:tcPr>
          <w:p>
            <w:pPr>
              <w:spacing w:after="0" w:line="240" w:lineRule="auto"/>
              <w:jc w:val="left"/>
            </w:pPr>
            <w:r/>
            <w:r>
              <w:rPr>
                <w:rFonts w:ascii="Times New Roman" w:hAnsi="Times New Roman" w:eastAsia="Times New Roman"/>
                <w:b w:val="0"/>
                <w:sz w:val="17"/>
              </w:rPr>
              <w:t>Relevant study classified as ineligible</w:t>
            </w:r>
          </w:p>
        </w:tc>
        <w:tc>
          <w:tcPr>
            <w:tcW w:type="dxa" w:w="2880"/>
            <w:vAlign w:val="top"/>
          </w:tcPr>
          <w:p>
            <w:pPr>
              <w:spacing w:after="0" w:line="240" w:lineRule="auto"/>
              <w:jc w:val="left"/>
            </w:pPr>
            <w:r/>
            <w:r>
              <w:rPr>
                <w:rFonts w:ascii="Times New Roman" w:hAnsi="Times New Roman" w:eastAsia="Times New Roman"/>
                <w:b w:val="0"/>
                <w:sz w:val="17"/>
              </w:rPr>
              <w:t>Biased corpus and theory</w:t>
            </w:r>
          </w:p>
        </w:tc>
        <w:tc>
          <w:tcPr>
            <w:tcW w:type="dxa" w:w="2232"/>
            <w:vAlign w:val="top"/>
          </w:tcPr>
          <w:p>
            <w:pPr>
              <w:spacing w:after="0" w:line="240" w:lineRule="auto"/>
              <w:jc w:val="left"/>
            </w:pPr>
            <w:r/>
            <w:r>
              <w:rPr>
                <w:rFonts w:ascii="Times New Roman" w:hAnsi="Times New Roman" w:eastAsia="Times New Roman"/>
                <w:b w:val="0"/>
                <w:sz w:val="17"/>
              </w:rPr>
              <w:t>False-negative adjudication</w:t>
            </w:r>
          </w:p>
        </w:tc>
        <w:tc>
          <w:tcPr>
            <w:tcW w:type="dxa" w:w="3240"/>
            <w:vAlign w:val="top"/>
          </w:tcPr>
          <w:p>
            <w:pPr>
              <w:spacing w:after="0" w:line="240" w:lineRule="auto"/>
              <w:jc w:val="left"/>
            </w:pPr>
            <w:r/>
            <w:r>
              <w:rPr>
                <w:rFonts w:ascii="Times New Roman" w:hAnsi="Times New Roman" w:eastAsia="Times New Roman"/>
                <w:b w:val="0"/>
                <w:sz w:val="17"/>
              </w:rPr>
              <w:t>Mandatory review of low-confidence exclusions</w:t>
            </w:r>
          </w:p>
        </w:tc>
      </w:tr>
      <w:tr>
        <w:tc>
          <w:tcPr>
            <w:tcW w:type="dxa" w:w="2088"/>
            <w:vAlign w:val="top"/>
          </w:tcPr>
          <w:p>
            <w:pPr>
              <w:spacing w:after="0" w:line="240" w:lineRule="auto"/>
              <w:jc w:val="left"/>
            </w:pPr>
            <w:r/>
            <w:r>
              <w:rPr>
                <w:rFonts w:ascii="Times New Roman" w:hAnsi="Times New Roman" w:eastAsia="Times New Roman"/>
                <w:b w:val="0"/>
                <w:sz w:val="17"/>
              </w:rPr>
              <w:t>Field misclassification</w:t>
            </w:r>
          </w:p>
        </w:tc>
        <w:tc>
          <w:tcPr>
            <w:tcW w:type="dxa" w:w="2952"/>
            <w:vAlign w:val="top"/>
          </w:tcPr>
          <w:p>
            <w:pPr>
              <w:spacing w:after="0" w:line="240" w:lineRule="auto"/>
              <w:jc w:val="left"/>
            </w:pPr>
            <w:r/>
            <w:r>
              <w:rPr>
                <w:rFonts w:ascii="Times New Roman" w:hAnsi="Times New Roman" w:eastAsia="Times New Roman"/>
                <w:b w:val="0"/>
                <w:sz w:val="17"/>
              </w:rPr>
              <w:t>Context coded as mechanism or outcome</w:t>
            </w:r>
          </w:p>
        </w:tc>
        <w:tc>
          <w:tcPr>
            <w:tcW w:type="dxa" w:w="2880"/>
            <w:vAlign w:val="top"/>
          </w:tcPr>
          <w:p>
            <w:pPr>
              <w:spacing w:after="0" w:line="240" w:lineRule="auto"/>
              <w:jc w:val="left"/>
            </w:pPr>
            <w:r/>
            <w:r>
              <w:rPr>
                <w:rFonts w:ascii="Times New Roman" w:hAnsi="Times New Roman" w:eastAsia="Times New Roman"/>
                <w:b w:val="0"/>
                <w:sz w:val="17"/>
              </w:rPr>
              <w:t>Invalid CMOC structure</w:t>
            </w:r>
          </w:p>
        </w:tc>
        <w:tc>
          <w:tcPr>
            <w:tcW w:type="dxa" w:w="2232"/>
            <w:vAlign w:val="top"/>
          </w:tcPr>
          <w:p>
            <w:pPr>
              <w:spacing w:after="0" w:line="240" w:lineRule="auto"/>
              <w:jc w:val="left"/>
            </w:pPr>
            <w:r/>
            <w:r>
              <w:rPr>
                <w:rFonts w:ascii="Times New Roman" w:hAnsi="Times New Roman" w:eastAsia="Times New Roman"/>
                <w:b w:val="0"/>
                <w:sz w:val="17"/>
              </w:rPr>
              <w:t>Schema-level comparison</w:t>
            </w:r>
          </w:p>
        </w:tc>
        <w:tc>
          <w:tcPr>
            <w:tcW w:type="dxa" w:w="3240"/>
            <w:vAlign w:val="top"/>
          </w:tcPr>
          <w:p>
            <w:pPr>
              <w:spacing w:after="0" w:line="240" w:lineRule="auto"/>
              <w:jc w:val="left"/>
            </w:pPr>
            <w:r/>
            <w:r>
              <w:rPr>
                <w:rFonts w:ascii="Times New Roman" w:hAnsi="Times New Roman" w:eastAsia="Times New Roman"/>
                <w:b w:val="0"/>
                <w:sz w:val="17"/>
              </w:rPr>
              <w:t>Definitions, examples, and reviewer recoding</w:t>
            </w:r>
          </w:p>
        </w:tc>
      </w:tr>
      <w:tr>
        <w:tc>
          <w:tcPr>
            <w:tcW w:type="dxa" w:w="2088"/>
            <w:vAlign w:val="top"/>
          </w:tcPr>
          <w:p>
            <w:pPr>
              <w:spacing w:after="0" w:line="240" w:lineRule="auto"/>
              <w:jc w:val="left"/>
            </w:pPr>
            <w:r/>
            <w:r>
              <w:rPr>
                <w:rFonts w:ascii="Times New Roman" w:hAnsi="Times New Roman" w:eastAsia="Times New Roman"/>
                <w:b w:val="0"/>
                <w:sz w:val="17"/>
              </w:rPr>
              <w:t>Unsupported relation</w:t>
            </w:r>
          </w:p>
        </w:tc>
        <w:tc>
          <w:tcPr>
            <w:tcW w:type="dxa" w:w="2952"/>
            <w:vAlign w:val="top"/>
          </w:tcPr>
          <w:p>
            <w:pPr>
              <w:spacing w:after="0" w:line="240" w:lineRule="auto"/>
              <w:jc w:val="left"/>
            </w:pPr>
            <w:r/>
            <w:r>
              <w:rPr>
                <w:rFonts w:ascii="Times New Roman" w:hAnsi="Times New Roman" w:eastAsia="Times New Roman"/>
                <w:b w:val="0"/>
                <w:sz w:val="17"/>
              </w:rPr>
              <w:t>Relation inferred beyond source passage</w:t>
            </w:r>
          </w:p>
        </w:tc>
        <w:tc>
          <w:tcPr>
            <w:tcW w:type="dxa" w:w="2880"/>
            <w:vAlign w:val="top"/>
          </w:tcPr>
          <w:p>
            <w:pPr>
              <w:spacing w:after="0" w:line="240" w:lineRule="auto"/>
              <w:jc w:val="left"/>
            </w:pPr>
            <w:r/>
            <w:r>
              <w:rPr>
                <w:rFonts w:ascii="Times New Roman" w:hAnsi="Times New Roman" w:eastAsia="Times New Roman"/>
                <w:b w:val="0"/>
                <w:sz w:val="17"/>
              </w:rPr>
              <w:t>Hallucinated explanatory claim</w:t>
            </w:r>
          </w:p>
        </w:tc>
        <w:tc>
          <w:tcPr>
            <w:tcW w:type="dxa" w:w="2232"/>
            <w:vAlign w:val="top"/>
          </w:tcPr>
          <w:p>
            <w:pPr>
              <w:spacing w:after="0" w:line="240" w:lineRule="auto"/>
              <w:jc w:val="left"/>
            </w:pPr>
            <w:r/>
            <w:r>
              <w:rPr>
                <w:rFonts w:ascii="Times New Roman" w:hAnsi="Times New Roman" w:eastAsia="Times New Roman"/>
                <w:b w:val="0"/>
                <w:sz w:val="17"/>
              </w:rPr>
              <w:t>Entailment/citation audit</w:t>
            </w:r>
          </w:p>
        </w:tc>
        <w:tc>
          <w:tcPr>
            <w:tcW w:type="dxa" w:w="3240"/>
            <w:vAlign w:val="top"/>
          </w:tcPr>
          <w:p>
            <w:pPr>
              <w:spacing w:after="0" w:line="240" w:lineRule="auto"/>
              <w:jc w:val="left"/>
            </w:pPr>
            <w:r/>
            <w:r>
              <w:rPr>
                <w:rFonts w:ascii="Times New Roman" w:hAnsi="Times New Roman" w:eastAsia="Times New Roman"/>
                <w:b w:val="0"/>
                <w:sz w:val="17"/>
              </w:rPr>
              <w:t>Require passage-level evidence for every edge</w:t>
            </w:r>
          </w:p>
        </w:tc>
      </w:tr>
      <w:tr>
        <w:tc>
          <w:tcPr>
            <w:tcW w:type="dxa" w:w="2088"/>
            <w:vAlign w:val="top"/>
          </w:tcPr>
          <w:p>
            <w:pPr>
              <w:spacing w:after="0" w:line="240" w:lineRule="auto"/>
              <w:jc w:val="left"/>
            </w:pPr>
            <w:r/>
            <w:r>
              <w:rPr>
                <w:rFonts w:ascii="Times New Roman" w:hAnsi="Times New Roman" w:eastAsia="Times New Roman"/>
                <w:b w:val="0"/>
                <w:sz w:val="17"/>
              </w:rPr>
              <w:t>Overgeneralization</w:t>
            </w:r>
          </w:p>
        </w:tc>
        <w:tc>
          <w:tcPr>
            <w:tcW w:type="dxa" w:w="2952"/>
            <w:vAlign w:val="top"/>
          </w:tcPr>
          <w:p>
            <w:pPr>
              <w:spacing w:after="0" w:line="240" w:lineRule="auto"/>
              <w:jc w:val="left"/>
            </w:pPr>
            <w:r/>
            <w:r>
              <w:rPr>
                <w:rFonts w:ascii="Times New Roman" w:hAnsi="Times New Roman" w:eastAsia="Times New Roman"/>
                <w:b w:val="0"/>
                <w:sz w:val="17"/>
              </w:rPr>
              <w:t>Finding extended across populations/settings</w:t>
            </w:r>
          </w:p>
        </w:tc>
        <w:tc>
          <w:tcPr>
            <w:tcW w:type="dxa" w:w="2880"/>
            <w:vAlign w:val="top"/>
          </w:tcPr>
          <w:p>
            <w:pPr>
              <w:spacing w:after="0" w:line="240" w:lineRule="auto"/>
              <w:jc w:val="left"/>
            </w:pPr>
            <w:r/>
            <w:r>
              <w:rPr>
                <w:rFonts w:ascii="Times New Roman" w:hAnsi="Times New Roman" w:eastAsia="Times New Roman"/>
                <w:b w:val="0"/>
                <w:sz w:val="17"/>
              </w:rPr>
              <w:t>Loss of contextual validity</w:t>
            </w:r>
          </w:p>
        </w:tc>
        <w:tc>
          <w:tcPr>
            <w:tcW w:type="dxa" w:w="2232"/>
            <w:vAlign w:val="top"/>
          </w:tcPr>
          <w:p>
            <w:pPr>
              <w:spacing w:after="0" w:line="240" w:lineRule="auto"/>
              <w:jc w:val="left"/>
            </w:pPr>
            <w:r/>
            <w:r>
              <w:rPr>
                <w:rFonts w:ascii="Times New Roman" w:hAnsi="Times New Roman" w:eastAsia="Times New Roman"/>
                <w:b w:val="0"/>
                <w:sz w:val="17"/>
              </w:rPr>
              <w:t>Context comparison</w:t>
            </w:r>
          </w:p>
        </w:tc>
        <w:tc>
          <w:tcPr>
            <w:tcW w:type="dxa" w:w="3240"/>
            <w:vAlign w:val="top"/>
          </w:tcPr>
          <w:p>
            <w:pPr>
              <w:spacing w:after="0" w:line="240" w:lineRule="auto"/>
              <w:jc w:val="left"/>
            </w:pPr>
            <w:r/>
            <w:r>
              <w:rPr>
                <w:rFonts w:ascii="Times New Roman" w:hAnsi="Times New Roman" w:eastAsia="Times New Roman"/>
                <w:b w:val="0"/>
                <w:sz w:val="17"/>
              </w:rPr>
              <w:t>Constrain claims to reported conditions</w:t>
            </w:r>
          </w:p>
        </w:tc>
      </w:tr>
      <w:tr>
        <w:tc>
          <w:tcPr>
            <w:tcW w:type="dxa" w:w="2088"/>
            <w:vAlign w:val="top"/>
          </w:tcPr>
          <w:p>
            <w:pPr>
              <w:spacing w:after="0" w:line="240" w:lineRule="auto"/>
              <w:jc w:val="left"/>
            </w:pPr>
            <w:r/>
            <w:r>
              <w:rPr>
                <w:rFonts w:ascii="Times New Roman" w:hAnsi="Times New Roman" w:eastAsia="Times New Roman"/>
                <w:b w:val="0"/>
                <w:sz w:val="17"/>
              </w:rPr>
              <w:t>Graph over-merge</w:t>
            </w:r>
          </w:p>
        </w:tc>
        <w:tc>
          <w:tcPr>
            <w:tcW w:type="dxa" w:w="2952"/>
            <w:vAlign w:val="top"/>
          </w:tcPr>
          <w:p>
            <w:pPr>
              <w:spacing w:after="0" w:line="240" w:lineRule="auto"/>
              <w:jc w:val="left"/>
            </w:pPr>
            <w:r/>
            <w:r>
              <w:rPr>
                <w:rFonts w:ascii="Times New Roman" w:hAnsi="Times New Roman" w:eastAsia="Times New Roman"/>
                <w:b w:val="0"/>
                <w:sz w:val="17"/>
              </w:rPr>
              <w:t>Distinct constructs consolidated</w:t>
            </w:r>
          </w:p>
        </w:tc>
        <w:tc>
          <w:tcPr>
            <w:tcW w:type="dxa" w:w="2880"/>
            <w:vAlign w:val="top"/>
          </w:tcPr>
          <w:p>
            <w:pPr>
              <w:spacing w:after="0" w:line="240" w:lineRule="auto"/>
              <w:jc w:val="left"/>
            </w:pPr>
            <w:r/>
            <w:r>
              <w:rPr>
                <w:rFonts w:ascii="Times New Roman" w:hAnsi="Times New Roman" w:eastAsia="Times New Roman"/>
                <w:b w:val="0"/>
                <w:sz w:val="17"/>
              </w:rPr>
              <w:t>Conceptual distortion</w:t>
            </w:r>
          </w:p>
        </w:tc>
        <w:tc>
          <w:tcPr>
            <w:tcW w:type="dxa" w:w="2232"/>
            <w:vAlign w:val="top"/>
          </w:tcPr>
          <w:p>
            <w:pPr>
              <w:spacing w:after="0" w:line="240" w:lineRule="auto"/>
              <w:jc w:val="left"/>
            </w:pPr>
            <w:r/>
            <w:r>
              <w:rPr>
                <w:rFonts w:ascii="Times New Roman" w:hAnsi="Times New Roman" w:eastAsia="Times New Roman"/>
                <w:b w:val="0"/>
                <w:sz w:val="17"/>
              </w:rPr>
              <w:t>Community/cluster review</w:t>
            </w:r>
          </w:p>
        </w:tc>
        <w:tc>
          <w:tcPr>
            <w:tcW w:type="dxa" w:w="3240"/>
            <w:vAlign w:val="top"/>
          </w:tcPr>
          <w:p>
            <w:pPr>
              <w:spacing w:after="0" w:line="240" w:lineRule="auto"/>
              <w:jc w:val="left"/>
            </w:pPr>
            <w:r/>
            <w:r>
              <w:rPr>
                <w:rFonts w:ascii="Times New Roman" w:hAnsi="Times New Roman" w:eastAsia="Times New Roman"/>
                <w:b w:val="0"/>
                <w:sz w:val="17"/>
              </w:rPr>
              <w:t>Human merge/split/rename with versioning</w:t>
            </w:r>
          </w:p>
        </w:tc>
      </w:tr>
      <w:tr>
        <w:tc>
          <w:tcPr>
            <w:tcW w:type="dxa" w:w="2088"/>
            <w:vAlign w:val="top"/>
          </w:tcPr>
          <w:p>
            <w:pPr>
              <w:spacing w:after="0" w:line="240" w:lineRule="auto"/>
              <w:jc w:val="left"/>
            </w:pPr>
            <w:r/>
            <w:r>
              <w:rPr>
                <w:rFonts w:ascii="Times New Roman" w:hAnsi="Times New Roman" w:eastAsia="Times New Roman"/>
                <w:b w:val="0"/>
                <w:sz w:val="17"/>
              </w:rPr>
              <w:t>Graph fragmentation</w:t>
            </w:r>
          </w:p>
        </w:tc>
        <w:tc>
          <w:tcPr>
            <w:tcW w:type="dxa" w:w="2952"/>
            <w:vAlign w:val="top"/>
          </w:tcPr>
          <w:p>
            <w:pPr>
              <w:spacing w:after="0" w:line="240" w:lineRule="auto"/>
              <w:jc w:val="left"/>
            </w:pPr>
            <w:r/>
            <w:r>
              <w:rPr>
                <w:rFonts w:ascii="Times New Roman" w:hAnsi="Times New Roman" w:eastAsia="Times New Roman"/>
                <w:b w:val="0"/>
                <w:sz w:val="17"/>
              </w:rPr>
              <w:t>Equivalent constructs remain separate</w:t>
            </w:r>
          </w:p>
        </w:tc>
        <w:tc>
          <w:tcPr>
            <w:tcW w:type="dxa" w:w="2880"/>
            <w:vAlign w:val="top"/>
          </w:tcPr>
          <w:p>
            <w:pPr>
              <w:spacing w:after="0" w:line="240" w:lineRule="auto"/>
              <w:jc w:val="left"/>
            </w:pPr>
            <w:r/>
            <w:r>
              <w:rPr>
                <w:rFonts w:ascii="Times New Roman" w:hAnsi="Times New Roman" w:eastAsia="Times New Roman"/>
                <w:b w:val="0"/>
                <w:sz w:val="17"/>
              </w:rPr>
              <w:t>Patterns and recurrence missed</w:t>
            </w:r>
          </w:p>
        </w:tc>
        <w:tc>
          <w:tcPr>
            <w:tcW w:type="dxa" w:w="2232"/>
            <w:vAlign w:val="top"/>
          </w:tcPr>
          <w:p>
            <w:pPr>
              <w:spacing w:after="0" w:line="240" w:lineRule="auto"/>
              <w:jc w:val="left"/>
            </w:pPr>
            <w:r/>
            <w:r>
              <w:rPr>
                <w:rFonts w:ascii="Times New Roman" w:hAnsi="Times New Roman" w:eastAsia="Times New Roman"/>
                <w:b w:val="0"/>
                <w:sz w:val="17"/>
              </w:rPr>
              <w:t>Synonym/community inspection</w:t>
            </w:r>
          </w:p>
        </w:tc>
        <w:tc>
          <w:tcPr>
            <w:tcW w:type="dxa" w:w="3240"/>
            <w:vAlign w:val="top"/>
          </w:tcPr>
          <w:p>
            <w:pPr>
              <w:spacing w:after="0" w:line="240" w:lineRule="auto"/>
              <w:jc w:val="left"/>
            </w:pPr>
            <w:r/>
            <w:r>
              <w:rPr>
                <w:rFonts w:ascii="Times New Roman" w:hAnsi="Times New Roman" w:eastAsia="Times New Roman"/>
                <w:b w:val="0"/>
                <w:sz w:val="17"/>
              </w:rPr>
              <w:t>Controlled vocabulary and adjudication</w:t>
            </w:r>
          </w:p>
        </w:tc>
      </w:tr>
      <w:tr>
        <w:tc>
          <w:tcPr>
            <w:tcW w:type="dxa" w:w="2088"/>
            <w:vAlign w:val="top"/>
          </w:tcPr>
          <w:p>
            <w:pPr>
              <w:spacing w:after="0" w:line="240" w:lineRule="auto"/>
              <w:jc w:val="left"/>
            </w:pPr>
            <w:r/>
            <w:r>
              <w:rPr>
                <w:rFonts w:ascii="Times New Roman" w:hAnsi="Times New Roman" w:eastAsia="Times New Roman"/>
                <w:b w:val="0"/>
                <w:sz w:val="17"/>
              </w:rPr>
              <w:t>Contradiction smoothing</w:t>
            </w:r>
          </w:p>
        </w:tc>
        <w:tc>
          <w:tcPr>
            <w:tcW w:type="dxa" w:w="2952"/>
            <w:vAlign w:val="top"/>
          </w:tcPr>
          <w:p>
            <w:pPr>
              <w:spacing w:after="0" w:line="240" w:lineRule="auto"/>
              <w:jc w:val="left"/>
            </w:pPr>
            <w:r/>
            <w:r>
              <w:rPr>
                <w:rFonts w:ascii="Times New Roman" w:hAnsi="Times New Roman" w:eastAsia="Times New Roman"/>
                <w:b w:val="0"/>
                <w:sz w:val="17"/>
              </w:rPr>
              <w:t>Conflicting findings summarized as consensus</w:t>
            </w:r>
          </w:p>
        </w:tc>
        <w:tc>
          <w:tcPr>
            <w:tcW w:type="dxa" w:w="2880"/>
            <w:vAlign w:val="top"/>
          </w:tcPr>
          <w:p>
            <w:pPr>
              <w:spacing w:after="0" w:line="240" w:lineRule="auto"/>
              <w:jc w:val="left"/>
            </w:pPr>
            <w:r/>
            <w:r>
              <w:rPr>
                <w:rFonts w:ascii="Times New Roman" w:hAnsi="Times New Roman" w:eastAsia="Times New Roman"/>
                <w:b w:val="0"/>
                <w:sz w:val="17"/>
              </w:rPr>
              <w:t>Misleading theory</w:t>
            </w:r>
          </w:p>
        </w:tc>
        <w:tc>
          <w:tcPr>
            <w:tcW w:type="dxa" w:w="2232"/>
            <w:vAlign w:val="top"/>
          </w:tcPr>
          <w:p>
            <w:pPr>
              <w:spacing w:after="0" w:line="240" w:lineRule="auto"/>
              <w:jc w:val="left"/>
            </w:pPr>
            <w:r/>
            <w:r>
              <w:rPr>
                <w:rFonts w:ascii="Times New Roman" w:hAnsi="Times New Roman" w:eastAsia="Times New Roman"/>
                <w:b w:val="0"/>
                <w:sz w:val="17"/>
              </w:rPr>
              <w:t>Contradiction register</w:t>
            </w:r>
          </w:p>
        </w:tc>
        <w:tc>
          <w:tcPr>
            <w:tcW w:type="dxa" w:w="3240"/>
            <w:vAlign w:val="top"/>
          </w:tcPr>
          <w:p>
            <w:pPr>
              <w:spacing w:after="0" w:line="240" w:lineRule="auto"/>
              <w:jc w:val="left"/>
            </w:pPr>
            <w:r/>
            <w:r>
              <w:rPr>
                <w:rFonts w:ascii="Times New Roman" w:hAnsi="Times New Roman" w:eastAsia="Times New Roman"/>
                <w:b w:val="0"/>
                <w:sz w:val="17"/>
              </w:rPr>
              <w:t>Require explicit competing explanations</w:t>
            </w:r>
          </w:p>
        </w:tc>
      </w:tr>
      <w:tr>
        <w:tc>
          <w:tcPr>
            <w:tcW w:type="dxa" w:w="2088"/>
            <w:vAlign w:val="top"/>
          </w:tcPr>
          <w:p>
            <w:pPr>
              <w:spacing w:after="0" w:line="240" w:lineRule="auto"/>
              <w:jc w:val="left"/>
            </w:pPr>
            <w:r/>
            <w:r>
              <w:rPr>
                <w:rFonts w:ascii="Times New Roman" w:hAnsi="Times New Roman" w:eastAsia="Times New Roman"/>
                <w:b w:val="0"/>
                <w:sz w:val="17"/>
              </w:rPr>
              <w:t>Coherent synthesis from incomplete corpus</w:t>
            </w:r>
          </w:p>
        </w:tc>
        <w:tc>
          <w:tcPr>
            <w:tcW w:type="dxa" w:w="2952"/>
            <w:vAlign w:val="top"/>
          </w:tcPr>
          <w:p>
            <w:pPr>
              <w:spacing w:after="0" w:line="240" w:lineRule="auto"/>
              <w:jc w:val="left"/>
            </w:pPr>
            <w:r/>
            <w:r>
              <w:rPr>
                <w:rFonts w:ascii="Times New Roman" w:hAnsi="Times New Roman" w:eastAsia="Times New Roman"/>
                <w:b w:val="0"/>
                <w:sz w:val="17"/>
              </w:rPr>
              <w:t>Plausible narrative despite low recall</w:t>
            </w:r>
          </w:p>
        </w:tc>
        <w:tc>
          <w:tcPr>
            <w:tcW w:type="dxa" w:w="2880"/>
            <w:vAlign w:val="top"/>
          </w:tcPr>
          <w:p>
            <w:pPr>
              <w:spacing w:after="0" w:line="240" w:lineRule="auto"/>
              <w:jc w:val="left"/>
            </w:pPr>
            <w:r/>
            <w:r>
              <w:rPr>
                <w:rFonts w:ascii="Times New Roman" w:hAnsi="Times New Roman" w:eastAsia="Times New Roman"/>
                <w:b w:val="0"/>
                <w:sz w:val="17"/>
              </w:rPr>
              <w:t>False confidence</w:t>
            </w:r>
          </w:p>
        </w:tc>
        <w:tc>
          <w:tcPr>
            <w:tcW w:type="dxa" w:w="2232"/>
            <w:vAlign w:val="top"/>
          </w:tcPr>
          <w:p>
            <w:pPr>
              <w:spacing w:after="0" w:line="240" w:lineRule="auto"/>
              <w:jc w:val="left"/>
            </w:pPr>
            <w:r/>
            <w:r>
              <w:rPr>
                <w:rFonts w:ascii="Times New Roman" w:hAnsi="Times New Roman" w:eastAsia="Times New Roman"/>
                <w:b w:val="0"/>
                <w:sz w:val="17"/>
              </w:rPr>
              <w:t>End-to-end coverage reporting</w:t>
            </w:r>
          </w:p>
        </w:tc>
        <w:tc>
          <w:tcPr>
            <w:tcW w:type="dxa" w:w="3240"/>
            <w:vAlign w:val="top"/>
          </w:tcPr>
          <w:p>
            <w:pPr>
              <w:spacing w:after="0" w:line="240" w:lineRule="auto"/>
              <w:jc w:val="left"/>
            </w:pPr>
            <w:r/>
            <w:r>
              <w:rPr>
                <w:rFonts w:ascii="Times New Roman" w:hAnsi="Times New Roman" w:eastAsia="Times New Roman"/>
                <w:b w:val="0"/>
                <w:sz w:val="17"/>
              </w:rPr>
              <w:t>Block synthesis below coverage threshold</w:t>
            </w:r>
          </w:p>
        </w:tc>
      </w:tr>
      <w:tr>
        <w:tc>
          <w:tcPr>
            <w:tcW w:type="dxa" w:w="2088"/>
            <w:vAlign w:val="top"/>
          </w:tcPr>
          <w:p>
            <w:pPr>
              <w:spacing w:after="0" w:line="240" w:lineRule="auto"/>
              <w:jc w:val="left"/>
            </w:pPr>
            <w:r/>
            <w:r>
              <w:rPr>
                <w:rFonts w:ascii="Times New Roman" w:hAnsi="Times New Roman" w:eastAsia="Times New Roman"/>
                <w:b w:val="0"/>
                <w:sz w:val="17"/>
              </w:rPr>
              <w:t>Citation drift</w:t>
            </w:r>
          </w:p>
        </w:tc>
        <w:tc>
          <w:tcPr>
            <w:tcW w:type="dxa" w:w="2952"/>
            <w:vAlign w:val="top"/>
          </w:tcPr>
          <w:p>
            <w:pPr>
              <w:spacing w:after="0" w:line="240" w:lineRule="auto"/>
              <w:jc w:val="left"/>
            </w:pPr>
            <w:r/>
            <w:r>
              <w:rPr>
                <w:rFonts w:ascii="Times New Roman" w:hAnsi="Times New Roman" w:eastAsia="Times New Roman"/>
                <w:b w:val="0"/>
                <w:sz w:val="17"/>
              </w:rPr>
              <w:t>Correct source cited for a different claim</w:t>
            </w:r>
          </w:p>
        </w:tc>
        <w:tc>
          <w:tcPr>
            <w:tcW w:type="dxa" w:w="2880"/>
            <w:vAlign w:val="top"/>
          </w:tcPr>
          <w:p>
            <w:pPr>
              <w:spacing w:after="0" w:line="240" w:lineRule="auto"/>
              <w:jc w:val="left"/>
            </w:pPr>
            <w:r/>
            <w:r>
              <w:rPr>
                <w:rFonts w:ascii="Times New Roman" w:hAnsi="Times New Roman" w:eastAsia="Times New Roman"/>
                <w:b w:val="0"/>
                <w:sz w:val="17"/>
              </w:rPr>
              <w:t>Weak provenance</w:t>
            </w:r>
          </w:p>
        </w:tc>
        <w:tc>
          <w:tcPr>
            <w:tcW w:type="dxa" w:w="2232"/>
            <w:vAlign w:val="top"/>
          </w:tcPr>
          <w:p>
            <w:pPr>
              <w:spacing w:after="0" w:line="240" w:lineRule="auto"/>
              <w:jc w:val="left"/>
            </w:pPr>
            <w:r/>
            <w:r>
              <w:rPr>
                <w:rFonts w:ascii="Times New Roman" w:hAnsi="Times New Roman" w:eastAsia="Times New Roman"/>
                <w:b w:val="0"/>
                <w:sz w:val="17"/>
              </w:rPr>
              <w:t>Claim-passage verification</w:t>
            </w:r>
          </w:p>
        </w:tc>
        <w:tc>
          <w:tcPr>
            <w:tcW w:type="dxa" w:w="3240"/>
            <w:vAlign w:val="top"/>
          </w:tcPr>
          <w:p>
            <w:pPr>
              <w:spacing w:after="0" w:line="240" w:lineRule="auto"/>
              <w:jc w:val="left"/>
            </w:pPr>
            <w:r/>
            <w:r>
              <w:rPr>
                <w:rFonts w:ascii="Times New Roman" w:hAnsi="Times New Roman" w:eastAsia="Times New Roman"/>
                <w:b w:val="0"/>
                <w:sz w:val="17"/>
              </w:rPr>
              <w:t>Automated check plus human approval</w:t>
            </w:r>
          </w:p>
        </w:tc>
      </w:tr>
    </w:tbl>
    <w:p>
      <w:r>
        <w:br w:type="page"/>
      </w:r>
    </w:p>
    <w:p>
      <w:pPr>
        <w:spacing w:before="80" w:after="60"/>
      </w:pPr>
      <w:r>
        <w:rPr>
          <w:rFonts w:ascii="Times New Roman" w:hAnsi="Times New Roman"/>
          <w:b/>
          <w:sz w:val="20"/>
        </w:rPr>
        <w:t>Table 4. Required Human-Adjudication Checkpoints</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2088"/>
            <w:vAlign w:val="top"/>
            <w:shd w:fill="D9E1F2"/>
          </w:tcPr>
          <w:p>
            <w:pPr>
              <w:spacing w:after="0" w:line="240" w:lineRule="auto"/>
              <w:jc w:val="left"/>
            </w:pPr>
            <w:r/>
            <w:r>
              <w:rPr>
                <w:rFonts w:ascii="Times New Roman" w:hAnsi="Times New Roman" w:eastAsia="Times New Roman"/>
                <w:b/>
                <w:sz w:val="18"/>
              </w:rPr>
              <w:t>Checkpoint</w:t>
            </w:r>
          </w:p>
        </w:tc>
        <w:tc>
          <w:tcPr>
            <w:tcW w:type="dxa" w:w="3168"/>
            <w:vAlign w:val="top"/>
            <w:shd w:fill="D9E1F2"/>
          </w:tcPr>
          <w:p>
            <w:pPr>
              <w:spacing w:after="0" w:line="240" w:lineRule="auto"/>
              <w:jc w:val="left"/>
            </w:pPr>
            <w:r/>
            <w:r>
              <w:rPr>
                <w:rFonts w:ascii="Times New Roman" w:hAnsi="Times New Roman" w:eastAsia="Times New Roman"/>
                <w:b/>
                <w:sz w:val="18"/>
              </w:rPr>
              <w:t>Human Decision Authority</w:t>
            </w:r>
          </w:p>
        </w:tc>
        <w:tc>
          <w:tcPr>
            <w:tcW w:type="dxa" w:w="2952"/>
            <w:vAlign w:val="top"/>
            <w:shd w:fill="D9E1F2"/>
          </w:tcPr>
          <w:p>
            <w:pPr>
              <w:spacing w:after="0" w:line="240" w:lineRule="auto"/>
              <w:jc w:val="left"/>
            </w:pPr>
            <w:r/>
            <w:r>
              <w:rPr>
                <w:rFonts w:ascii="Times New Roman" w:hAnsi="Times New Roman" w:eastAsia="Times New Roman"/>
                <w:b/>
                <w:sz w:val="18"/>
              </w:rPr>
              <w:t>Evidence Reviewed</w:t>
            </w:r>
          </w:p>
        </w:tc>
        <w:tc>
          <w:tcPr>
            <w:tcW w:type="dxa" w:w="3096"/>
            <w:vAlign w:val="top"/>
            <w:shd w:fill="D9E1F2"/>
          </w:tcPr>
          <w:p>
            <w:pPr>
              <w:spacing w:after="0" w:line="240" w:lineRule="auto"/>
              <w:jc w:val="left"/>
            </w:pPr>
            <w:r/>
            <w:r>
              <w:rPr>
                <w:rFonts w:ascii="Times New Roman" w:hAnsi="Times New Roman" w:eastAsia="Times New Roman"/>
                <w:b/>
                <w:sz w:val="18"/>
              </w:rPr>
              <w:t>Required Record</w:t>
            </w:r>
          </w:p>
        </w:tc>
        <w:tc>
          <w:tcPr>
            <w:tcW w:type="dxa" w:w="2376"/>
            <w:vAlign w:val="top"/>
            <w:shd w:fill="D9E1F2"/>
          </w:tcPr>
          <w:p>
            <w:pPr>
              <w:spacing w:after="0" w:line="240" w:lineRule="auto"/>
              <w:jc w:val="left"/>
            </w:pPr>
            <w:r/>
            <w:r>
              <w:rPr>
                <w:rFonts w:ascii="Times New Roman" w:hAnsi="Times New Roman" w:eastAsia="Times New Roman"/>
                <w:b/>
                <w:sz w:val="18"/>
              </w:rPr>
              <w:t>Release Condition</w:t>
            </w:r>
          </w:p>
        </w:tc>
      </w:tr>
      <w:tr>
        <w:tc>
          <w:tcPr>
            <w:tcW w:type="dxa" w:w="2088"/>
            <w:vAlign w:val="top"/>
          </w:tcPr>
          <w:p>
            <w:pPr>
              <w:spacing w:after="0" w:line="240" w:lineRule="auto"/>
              <w:jc w:val="left"/>
            </w:pPr>
            <w:r/>
            <w:r>
              <w:rPr>
                <w:rFonts w:ascii="Times New Roman" w:hAnsi="Times New Roman" w:eastAsia="Times New Roman"/>
                <w:b w:val="0"/>
                <w:sz w:val="17"/>
              </w:rPr>
              <w:t>1. Protocol approval</w:t>
            </w:r>
          </w:p>
        </w:tc>
        <w:tc>
          <w:tcPr>
            <w:tcW w:type="dxa" w:w="3168"/>
            <w:vAlign w:val="top"/>
          </w:tcPr>
          <w:p>
            <w:pPr>
              <w:spacing w:after="0" w:line="240" w:lineRule="auto"/>
              <w:jc w:val="left"/>
            </w:pPr>
            <w:r/>
            <w:r>
              <w:rPr>
                <w:rFonts w:ascii="Times New Roman" w:hAnsi="Times New Roman" w:eastAsia="Times New Roman"/>
                <w:b w:val="0"/>
                <w:sz w:val="17"/>
              </w:rPr>
              <w:t>Review question, scope, databases, eligibility, and method</w:t>
            </w:r>
          </w:p>
        </w:tc>
        <w:tc>
          <w:tcPr>
            <w:tcW w:type="dxa" w:w="2952"/>
            <w:vAlign w:val="top"/>
          </w:tcPr>
          <w:p>
            <w:pPr>
              <w:spacing w:after="0" w:line="240" w:lineRule="auto"/>
              <w:jc w:val="left"/>
            </w:pPr>
            <w:r/>
            <w:r>
              <w:rPr>
                <w:rFonts w:ascii="Times New Roman" w:hAnsi="Times New Roman" w:eastAsia="Times New Roman"/>
                <w:b w:val="0"/>
                <w:sz w:val="17"/>
              </w:rPr>
              <w:t>Draft protocol and benchmark definition</w:t>
            </w:r>
          </w:p>
        </w:tc>
        <w:tc>
          <w:tcPr>
            <w:tcW w:type="dxa" w:w="3096"/>
            <w:vAlign w:val="top"/>
          </w:tcPr>
          <w:p>
            <w:pPr>
              <w:spacing w:after="0" w:line="240" w:lineRule="auto"/>
              <w:jc w:val="left"/>
            </w:pPr>
            <w:r/>
            <w:r>
              <w:rPr>
                <w:rFonts w:ascii="Times New Roman" w:hAnsi="Times New Roman" w:eastAsia="Times New Roman"/>
                <w:b w:val="0"/>
                <w:sz w:val="17"/>
              </w:rPr>
              <w:t>Approved version and rationale</w:t>
            </w:r>
          </w:p>
        </w:tc>
        <w:tc>
          <w:tcPr>
            <w:tcW w:type="dxa" w:w="2376"/>
            <w:vAlign w:val="top"/>
          </w:tcPr>
          <w:p>
            <w:pPr>
              <w:spacing w:after="0" w:line="240" w:lineRule="auto"/>
              <w:jc w:val="left"/>
            </w:pPr>
            <w:r/>
            <w:r>
              <w:rPr>
                <w:rFonts w:ascii="Times New Roman" w:hAnsi="Times New Roman" w:eastAsia="Times New Roman"/>
                <w:b w:val="0"/>
                <w:sz w:val="17"/>
              </w:rPr>
              <w:t>Retrieval cannot begin without approval</w:t>
            </w:r>
          </w:p>
        </w:tc>
      </w:tr>
      <w:tr>
        <w:tc>
          <w:tcPr>
            <w:tcW w:type="dxa" w:w="2088"/>
            <w:vAlign w:val="top"/>
          </w:tcPr>
          <w:p>
            <w:pPr>
              <w:spacing w:after="0" w:line="240" w:lineRule="auto"/>
              <w:jc w:val="left"/>
            </w:pPr>
            <w:r/>
            <w:r>
              <w:rPr>
                <w:rFonts w:ascii="Times New Roman" w:hAnsi="Times New Roman" w:eastAsia="Times New Roman"/>
                <w:b w:val="0"/>
                <w:sz w:val="17"/>
              </w:rPr>
              <w:t>2. Screening adjudication</w:t>
            </w:r>
          </w:p>
        </w:tc>
        <w:tc>
          <w:tcPr>
            <w:tcW w:type="dxa" w:w="3168"/>
            <w:vAlign w:val="top"/>
          </w:tcPr>
          <w:p>
            <w:pPr>
              <w:spacing w:after="0" w:line="240" w:lineRule="auto"/>
              <w:jc w:val="left"/>
            </w:pPr>
            <w:r/>
            <w:r>
              <w:rPr>
                <w:rFonts w:ascii="Times New Roman" w:hAnsi="Times New Roman" w:eastAsia="Times New Roman"/>
                <w:b w:val="0"/>
                <w:sz w:val="17"/>
              </w:rPr>
              <w:t>Ambiguous inclusions/exclusions and benchmark misses</w:t>
            </w:r>
          </w:p>
        </w:tc>
        <w:tc>
          <w:tcPr>
            <w:tcW w:type="dxa" w:w="2952"/>
            <w:vAlign w:val="top"/>
          </w:tcPr>
          <w:p>
            <w:pPr>
              <w:spacing w:after="0" w:line="240" w:lineRule="auto"/>
              <w:jc w:val="left"/>
            </w:pPr>
            <w:r/>
            <w:r>
              <w:rPr>
                <w:rFonts w:ascii="Times New Roman" w:hAnsi="Times New Roman" w:eastAsia="Times New Roman"/>
                <w:b w:val="0"/>
                <w:sz w:val="17"/>
              </w:rPr>
              <w:t>Abstract/full text, criteria, agent rationale</w:t>
            </w:r>
          </w:p>
        </w:tc>
        <w:tc>
          <w:tcPr>
            <w:tcW w:type="dxa" w:w="3096"/>
            <w:vAlign w:val="top"/>
          </w:tcPr>
          <w:p>
            <w:pPr>
              <w:spacing w:after="0" w:line="240" w:lineRule="auto"/>
              <w:jc w:val="left"/>
            </w:pPr>
            <w:r/>
            <w:r>
              <w:rPr>
                <w:rFonts w:ascii="Times New Roman" w:hAnsi="Times New Roman" w:eastAsia="Times New Roman"/>
                <w:b w:val="0"/>
                <w:sz w:val="17"/>
              </w:rPr>
              <w:t>Final disposition and reason</w:t>
            </w:r>
          </w:p>
        </w:tc>
        <w:tc>
          <w:tcPr>
            <w:tcW w:type="dxa" w:w="2376"/>
            <w:vAlign w:val="top"/>
          </w:tcPr>
          <w:p>
            <w:pPr>
              <w:spacing w:after="0" w:line="240" w:lineRule="auto"/>
              <w:jc w:val="left"/>
            </w:pPr>
            <w:r/>
            <w:r>
              <w:rPr>
                <w:rFonts w:ascii="Times New Roman" w:hAnsi="Times New Roman" w:eastAsia="Times New Roman"/>
                <w:b w:val="0"/>
                <w:sz w:val="17"/>
              </w:rPr>
              <w:t>Eligible corpus frozen/versioned</w:t>
            </w:r>
          </w:p>
        </w:tc>
      </w:tr>
      <w:tr>
        <w:tc>
          <w:tcPr>
            <w:tcW w:type="dxa" w:w="2088"/>
            <w:vAlign w:val="top"/>
          </w:tcPr>
          <w:p>
            <w:pPr>
              <w:spacing w:after="0" w:line="240" w:lineRule="auto"/>
              <w:jc w:val="left"/>
            </w:pPr>
            <w:r/>
            <w:r>
              <w:rPr>
                <w:rFonts w:ascii="Times New Roman" w:hAnsi="Times New Roman" w:eastAsia="Times New Roman"/>
                <w:b w:val="0"/>
                <w:sz w:val="17"/>
              </w:rPr>
              <w:t>3. Evidence/CMOC validation</w:t>
            </w:r>
          </w:p>
        </w:tc>
        <w:tc>
          <w:tcPr>
            <w:tcW w:type="dxa" w:w="3168"/>
            <w:vAlign w:val="top"/>
          </w:tcPr>
          <w:p>
            <w:pPr>
              <w:spacing w:after="0" w:line="240" w:lineRule="auto"/>
              <w:jc w:val="left"/>
            </w:pPr>
            <w:r/>
            <w:r>
              <w:rPr>
                <w:rFonts w:ascii="Times New Roman" w:hAnsi="Times New Roman" w:eastAsia="Times New Roman"/>
                <w:b w:val="0"/>
                <w:sz w:val="17"/>
              </w:rPr>
              <w:t>Field labels, relations, and evidence sufficiency</w:t>
            </w:r>
          </w:p>
        </w:tc>
        <w:tc>
          <w:tcPr>
            <w:tcW w:type="dxa" w:w="2952"/>
            <w:vAlign w:val="top"/>
          </w:tcPr>
          <w:p>
            <w:pPr>
              <w:spacing w:after="0" w:line="240" w:lineRule="auto"/>
              <w:jc w:val="left"/>
            </w:pPr>
            <w:r/>
            <w:r>
              <w:rPr>
                <w:rFonts w:ascii="Times New Roman" w:hAnsi="Times New Roman" w:eastAsia="Times New Roman"/>
                <w:b w:val="0"/>
                <w:sz w:val="17"/>
              </w:rPr>
              <w:t>Source passage, extracted fields, graph path</w:t>
            </w:r>
          </w:p>
        </w:tc>
        <w:tc>
          <w:tcPr>
            <w:tcW w:type="dxa" w:w="3096"/>
            <w:vAlign w:val="top"/>
          </w:tcPr>
          <w:p>
            <w:pPr>
              <w:spacing w:after="0" w:line="240" w:lineRule="auto"/>
              <w:jc w:val="left"/>
            </w:pPr>
            <w:r/>
            <w:r>
              <w:rPr>
                <w:rFonts w:ascii="Times New Roman" w:hAnsi="Times New Roman" w:eastAsia="Times New Roman"/>
                <w:b w:val="0"/>
                <w:sz w:val="17"/>
              </w:rPr>
              <w:t>Accept/revise/reject/defer disposition</w:t>
            </w:r>
          </w:p>
        </w:tc>
        <w:tc>
          <w:tcPr>
            <w:tcW w:type="dxa" w:w="2376"/>
            <w:vAlign w:val="top"/>
          </w:tcPr>
          <w:p>
            <w:pPr>
              <w:spacing w:after="0" w:line="240" w:lineRule="auto"/>
              <w:jc w:val="left"/>
            </w:pPr>
            <w:r/>
            <w:r>
              <w:rPr>
                <w:rFonts w:ascii="Times New Roman" w:hAnsi="Times New Roman" w:eastAsia="Times New Roman"/>
                <w:b w:val="0"/>
                <w:sz w:val="17"/>
              </w:rPr>
              <w:t>Only supported records enter synthesis</w:t>
            </w:r>
          </w:p>
        </w:tc>
      </w:tr>
      <w:tr>
        <w:tc>
          <w:tcPr>
            <w:tcW w:type="dxa" w:w="2088"/>
            <w:vAlign w:val="top"/>
          </w:tcPr>
          <w:p>
            <w:pPr>
              <w:spacing w:after="0" w:line="240" w:lineRule="auto"/>
              <w:jc w:val="left"/>
            </w:pPr>
            <w:r/>
            <w:r>
              <w:rPr>
                <w:rFonts w:ascii="Times New Roman" w:hAnsi="Times New Roman" w:eastAsia="Times New Roman"/>
                <w:b w:val="0"/>
                <w:sz w:val="17"/>
              </w:rPr>
              <w:t>4. Contradiction interpretation</w:t>
            </w:r>
          </w:p>
        </w:tc>
        <w:tc>
          <w:tcPr>
            <w:tcW w:type="dxa" w:w="3168"/>
            <w:vAlign w:val="top"/>
          </w:tcPr>
          <w:p>
            <w:pPr>
              <w:spacing w:after="0" w:line="240" w:lineRule="auto"/>
              <w:jc w:val="left"/>
            </w:pPr>
            <w:r/>
            <w:r>
              <w:rPr>
                <w:rFonts w:ascii="Times New Roman" w:hAnsi="Times New Roman" w:eastAsia="Times New Roman"/>
                <w:b w:val="0"/>
                <w:sz w:val="17"/>
              </w:rPr>
              <w:t>Whether findings conflict and why</w:t>
            </w:r>
          </w:p>
        </w:tc>
        <w:tc>
          <w:tcPr>
            <w:tcW w:type="dxa" w:w="2952"/>
            <w:vAlign w:val="top"/>
          </w:tcPr>
          <w:p>
            <w:pPr>
              <w:spacing w:after="0" w:line="240" w:lineRule="auto"/>
              <w:jc w:val="left"/>
            </w:pPr>
            <w:r/>
            <w:r>
              <w:rPr>
                <w:rFonts w:ascii="Times New Roman" w:hAnsi="Times New Roman" w:eastAsia="Times New Roman"/>
                <w:b w:val="0"/>
                <w:sz w:val="17"/>
              </w:rPr>
              <w:t>Competing studies, contexts, mechanisms</w:t>
            </w:r>
          </w:p>
        </w:tc>
        <w:tc>
          <w:tcPr>
            <w:tcW w:type="dxa" w:w="3096"/>
            <w:vAlign w:val="top"/>
          </w:tcPr>
          <w:p>
            <w:pPr>
              <w:spacing w:after="0" w:line="240" w:lineRule="auto"/>
              <w:jc w:val="left"/>
            </w:pPr>
            <w:r/>
            <w:r>
              <w:rPr>
                <w:rFonts w:ascii="Times New Roman" w:hAnsi="Times New Roman" w:eastAsia="Times New Roman"/>
                <w:b w:val="0"/>
                <w:sz w:val="17"/>
              </w:rPr>
              <w:t>Contradiction statement and interpretation</w:t>
            </w:r>
          </w:p>
        </w:tc>
        <w:tc>
          <w:tcPr>
            <w:tcW w:type="dxa" w:w="2376"/>
            <w:vAlign w:val="top"/>
          </w:tcPr>
          <w:p>
            <w:pPr>
              <w:spacing w:after="0" w:line="240" w:lineRule="auto"/>
              <w:jc w:val="left"/>
            </w:pPr>
            <w:r/>
            <w:r>
              <w:rPr>
                <w:rFonts w:ascii="Times New Roman" w:hAnsi="Times New Roman" w:eastAsia="Times New Roman"/>
                <w:b w:val="0"/>
                <w:sz w:val="17"/>
              </w:rPr>
              <w:t>Alternative explanations preserved</w:t>
            </w:r>
          </w:p>
        </w:tc>
      </w:tr>
      <w:tr>
        <w:tc>
          <w:tcPr>
            <w:tcW w:type="dxa" w:w="2088"/>
            <w:vAlign w:val="top"/>
          </w:tcPr>
          <w:p>
            <w:pPr>
              <w:spacing w:after="0" w:line="240" w:lineRule="auto"/>
              <w:jc w:val="left"/>
            </w:pPr>
            <w:r/>
            <w:r>
              <w:rPr>
                <w:rFonts w:ascii="Times New Roman" w:hAnsi="Times New Roman" w:eastAsia="Times New Roman"/>
                <w:b w:val="0"/>
                <w:sz w:val="17"/>
              </w:rPr>
              <w:t>5. Programme-theory review</w:t>
            </w:r>
          </w:p>
        </w:tc>
        <w:tc>
          <w:tcPr>
            <w:tcW w:type="dxa" w:w="3168"/>
            <w:vAlign w:val="top"/>
          </w:tcPr>
          <w:p>
            <w:pPr>
              <w:spacing w:after="0" w:line="240" w:lineRule="auto"/>
              <w:jc w:val="left"/>
            </w:pPr>
            <w:r/>
            <w:r>
              <w:rPr>
                <w:rFonts w:ascii="Times New Roman" w:hAnsi="Times New Roman" w:eastAsia="Times New Roman"/>
                <w:b w:val="0"/>
                <w:sz w:val="17"/>
              </w:rPr>
              <w:t>Theory wording, scope, and contextual boundaries</w:t>
            </w:r>
          </w:p>
        </w:tc>
        <w:tc>
          <w:tcPr>
            <w:tcW w:type="dxa" w:w="2952"/>
            <w:vAlign w:val="top"/>
          </w:tcPr>
          <w:p>
            <w:pPr>
              <w:spacing w:after="0" w:line="240" w:lineRule="auto"/>
              <w:jc w:val="left"/>
            </w:pPr>
            <w:r/>
            <w:r>
              <w:rPr>
                <w:rFonts w:ascii="Times New Roman" w:hAnsi="Times New Roman" w:eastAsia="Times New Roman"/>
                <w:b w:val="0"/>
                <w:sz w:val="17"/>
              </w:rPr>
              <w:t>Validated CMOCs and contradiction register</w:t>
            </w:r>
          </w:p>
        </w:tc>
        <w:tc>
          <w:tcPr>
            <w:tcW w:type="dxa" w:w="3096"/>
            <w:vAlign w:val="top"/>
          </w:tcPr>
          <w:p>
            <w:pPr>
              <w:spacing w:after="0" w:line="240" w:lineRule="auto"/>
              <w:jc w:val="left"/>
            </w:pPr>
            <w:r/>
            <w:r>
              <w:rPr>
                <w:rFonts w:ascii="Times New Roman" w:hAnsi="Times New Roman" w:eastAsia="Times New Roman"/>
                <w:b w:val="0"/>
                <w:sz w:val="17"/>
              </w:rPr>
              <w:t>Versioned theory and evidence links</w:t>
            </w:r>
          </w:p>
        </w:tc>
        <w:tc>
          <w:tcPr>
            <w:tcW w:type="dxa" w:w="2376"/>
            <w:vAlign w:val="top"/>
          </w:tcPr>
          <w:p>
            <w:pPr>
              <w:spacing w:after="0" w:line="240" w:lineRule="auto"/>
              <w:jc w:val="left"/>
            </w:pPr>
            <w:r/>
            <w:r>
              <w:rPr>
                <w:rFonts w:ascii="Times New Roman" w:hAnsi="Times New Roman" w:eastAsia="Times New Roman"/>
                <w:b w:val="0"/>
                <w:sz w:val="17"/>
              </w:rPr>
              <w:t>No untraceable theory claim</w:t>
            </w:r>
          </w:p>
        </w:tc>
      </w:tr>
      <w:tr>
        <w:tc>
          <w:tcPr>
            <w:tcW w:type="dxa" w:w="2088"/>
            <w:vAlign w:val="top"/>
          </w:tcPr>
          <w:p>
            <w:pPr>
              <w:spacing w:after="0" w:line="240" w:lineRule="auto"/>
              <w:jc w:val="left"/>
            </w:pPr>
            <w:r/>
            <w:r>
              <w:rPr>
                <w:rFonts w:ascii="Times New Roman" w:hAnsi="Times New Roman" w:eastAsia="Times New Roman"/>
                <w:b w:val="0"/>
                <w:sz w:val="17"/>
              </w:rPr>
              <w:t>6. Final claim approval</w:t>
            </w:r>
          </w:p>
        </w:tc>
        <w:tc>
          <w:tcPr>
            <w:tcW w:type="dxa" w:w="3168"/>
            <w:vAlign w:val="top"/>
          </w:tcPr>
          <w:p>
            <w:pPr>
              <w:spacing w:after="0" w:line="240" w:lineRule="auto"/>
              <w:jc w:val="left"/>
            </w:pPr>
            <w:r/>
            <w:r>
              <w:rPr>
                <w:rFonts w:ascii="Times New Roman" w:hAnsi="Times New Roman" w:eastAsia="Times New Roman"/>
                <w:b w:val="0"/>
                <w:sz w:val="17"/>
              </w:rPr>
              <w:t>Conclusions, limitations, and delegation claims</w:t>
            </w:r>
          </w:p>
        </w:tc>
        <w:tc>
          <w:tcPr>
            <w:tcW w:type="dxa" w:w="2952"/>
            <w:vAlign w:val="top"/>
          </w:tcPr>
          <w:p>
            <w:pPr>
              <w:spacing w:after="0" w:line="240" w:lineRule="auto"/>
              <w:jc w:val="left"/>
            </w:pPr>
            <w:r/>
            <w:r>
              <w:rPr>
                <w:rFonts w:ascii="Times New Roman" w:hAnsi="Times New Roman" w:eastAsia="Times New Roman"/>
                <w:b w:val="0"/>
                <w:sz w:val="17"/>
              </w:rPr>
              <w:t>Audit report, metrics, error taxonomy</w:t>
            </w:r>
          </w:p>
        </w:tc>
        <w:tc>
          <w:tcPr>
            <w:tcW w:type="dxa" w:w="3096"/>
            <w:vAlign w:val="top"/>
          </w:tcPr>
          <w:p>
            <w:pPr>
              <w:spacing w:after="0" w:line="240" w:lineRule="auto"/>
              <w:jc w:val="left"/>
            </w:pPr>
            <w:r/>
            <w:r>
              <w:rPr>
                <w:rFonts w:ascii="Times New Roman" w:hAnsi="Times New Roman" w:eastAsia="Times New Roman"/>
                <w:b w:val="0"/>
                <w:sz w:val="17"/>
              </w:rPr>
              <w:t>Researcher sign-off</w:t>
            </w:r>
          </w:p>
        </w:tc>
        <w:tc>
          <w:tcPr>
            <w:tcW w:type="dxa" w:w="2376"/>
            <w:vAlign w:val="top"/>
          </w:tcPr>
          <w:p>
            <w:pPr>
              <w:spacing w:after="0" w:line="240" w:lineRule="auto"/>
              <w:jc w:val="left"/>
            </w:pPr>
            <w:r/>
            <w:r>
              <w:rPr>
                <w:rFonts w:ascii="Times New Roman" w:hAnsi="Times New Roman" w:eastAsia="Times New Roman"/>
                <w:b w:val="0"/>
                <w:sz w:val="17"/>
              </w:rPr>
              <w:t>Submission/repository release</w:t>
            </w:r>
          </w:p>
        </w:tc>
      </w:tr>
    </w:tbl>
    <w:p>
      <w:pPr>
        <w:pStyle w:val="DraftNote"/>
        <w:spacing w:before="160"/>
      </w:pPr>
      <w:r>
        <w:t>All bracketed fields are intentionally retained as placeholders for verified preliminary statistics.</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pPr>
      <w:spacing w:after="80"/>
    </w:pPr>
    <w:rPr>
      <w:rFonts w:ascii="Times New Roman" w:hAnsi="Times New Roman" w:eastAsia="Times New Roman"/>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Human-Governed AI-Agent Methods for Educational Evidence Synthesis</dc:title>
  <dc:subject>AERA 2027 Division D preliminary methodological paper</dc:subject>
  <dc:creator/>
  <cp:keywords/>
  <dc:description>Fully anonymized preliminary draft with highlighted result placeholders.</dc:description>
  <cp:lastModifiedBy/>
  <cp:revision>1</cp:revision>
  <dcterms:created xsi:type="dcterms:W3CDTF">2013-12-23T23:15:00Z</dcterms:created>
  <dcterms:modified xsi:type="dcterms:W3CDTF">2013-12-23T23:15:00Z</dcterms:modified>
  <cp:category/>
</cp:coreProperties>
</file>