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ED0378"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06CE66A1"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6D6B79">
              <w:rPr>
                <w:rFonts w:ascii="Times New Roman" w:hAnsi="Times New Roman" w:cs="Times New Roman"/>
                <w:sz w:val="28"/>
                <w:szCs w:val="28"/>
              </w:rPr>
              <w:t>Đặng Nhật Anh</w:t>
            </w:r>
          </w:p>
          <w:p w14:paraId="6161565C" w14:textId="1ADB1EC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873B76">
              <w:rPr>
                <w:rFonts w:ascii="Times New Roman" w:hAnsi="Times New Roman" w:cs="Times New Roman"/>
                <w:sz w:val="28"/>
                <w:szCs w:val="28"/>
              </w:rPr>
              <w:t>0</w:t>
            </w:r>
            <w:r w:rsidR="006D6B79">
              <w:rPr>
                <w:rFonts w:ascii="Times New Roman" w:hAnsi="Times New Roman" w:cs="Times New Roman"/>
                <w:sz w:val="28"/>
                <w:szCs w:val="28"/>
              </w:rPr>
              <w:t>7</w:t>
            </w:r>
            <w:r w:rsidR="00873B76">
              <w:rPr>
                <w:rFonts w:ascii="Times New Roman" w:hAnsi="Times New Roman" w:cs="Times New Roman"/>
                <w:sz w:val="28"/>
                <w:szCs w:val="28"/>
              </w:rPr>
              <w:t>/</w:t>
            </w:r>
            <w:r w:rsidR="006D6B79">
              <w:rPr>
                <w:rFonts w:ascii="Times New Roman" w:hAnsi="Times New Roman" w:cs="Times New Roman"/>
                <w:sz w:val="28"/>
                <w:szCs w:val="28"/>
              </w:rPr>
              <w:t>1</w:t>
            </w:r>
            <w:r w:rsidR="00873B76">
              <w:rPr>
                <w:rFonts w:ascii="Times New Roman" w:hAnsi="Times New Roman" w:cs="Times New Roman"/>
                <w:sz w:val="28"/>
                <w:szCs w:val="28"/>
              </w:rPr>
              <w:t>0/2002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0A6BC1AD"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w:t>
            </w:r>
            <w:r w:rsidR="00ED0378">
              <w:rPr>
                <w:rFonts w:ascii="Times New Roman" w:hAnsi="Times New Roman" w:cs="Times New Roman"/>
                <w:sz w:val="28"/>
                <w:szCs w:val="28"/>
              </w:rPr>
              <w:t>phường Xuân Tảo quận Bắc Từ Liêm thành phố Hà Nội</w:t>
            </w:r>
          </w:p>
          <w:p w14:paraId="61615660" w14:textId="4036748C"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6D6B79">
              <w:rPr>
                <w:rFonts w:ascii="Times New Roman" w:hAnsi="Times New Roman" w:cs="Times New Roman"/>
                <w:sz w:val="28"/>
                <w:szCs w:val="28"/>
              </w:rPr>
              <w:t>969252</w:t>
            </w:r>
            <w:r w:rsidR="00BC2697">
              <w:rPr>
                <w:rFonts w:ascii="Times New Roman" w:hAnsi="Times New Roman" w:cs="Times New Roman"/>
                <w:sz w:val="28"/>
                <w:szCs w:val="28"/>
              </w:rPr>
              <w:t>109</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ED0378"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ED0378"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ED0378"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2D074E"/>
    <w:rsid w:val="00376148"/>
    <w:rsid w:val="00381EE9"/>
    <w:rsid w:val="003E4BF6"/>
    <w:rsid w:val="00414116"/>
    <w:rsid w:val="005A1CEF"/>
    <w:rsid w:val="0066591A"/>
    <w:rsid w:val="006D6B79"/>
    <w:rsid w:val="00844517"/>
    <w:rsid w:val="00873B76"/>
    <w:rsid w:val="008F782B"/>
    <w:rsid w:val="009048D9"/>
    <w:rsid w:val="00912EAC"/>
    <w:rsid w:val="00AB586A"/>
    <w:rsid w:val="00BC2697"/>
    <w:rsid w:val="00C709ED"/>
    <w:rsid w:val="00D618E3"/>
    <w:rsid w:val="00ED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15</cp:revision>
  <dcterms:created xsi:type="dcterms:W3CDTF">2022-05-04T02:51:00Z</dcterms:created>
  <dcterms:modified xsi:type="dcterms:W3CDTF">2022-05-17T11:50:00Z</dcterms:modified>
</cp:coreProperties>
</file>