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2400" w:line="264" w:lineRule="auto"/>
        <w:jc w:val="center"/>
      </w:pPr>
      <w:r>
        <w:drawing>
          <wp:inline xmlns:a="http://schemas.openxmlformats.org/drawingml/2006/main" xmlns:pic="http://schemas.openxmlformats.org/drawingml/2006/picture">
            <wp:extent cx="1874519" cy="576266"/>
            <wp:docPr id="1" name="Picture 1"/>
            <wp:cNvGraphicFramePr>
              <a:graphicFrameLocks noChangeAspect="1"/>
            </wp:cNvGraphicFramePr>
            <a:graphic>
              <a:graphicData uri="http://schemas.openxmlformats.org/drawingml/2006/picture">
                <pic:pic>
                  <pic:nvPicPr>
                    <pic:cNvPr id="0" name="fpt_logo.png"/>
                    <pic:cNvPicPr/>
                  </pic:nvPicPr>
                  <pic:blipFill>
                    <a:blip r:embed="rId10"/>
                    <a:stretch>
                      <a:fillRect/>
                    </a:stretch>
                  </pic:blipFill>
                  <pic:spPr>
                    <a:xfrm>
                      <a:off x="0" y="0"/>
                      <a:ext cx="1874519" cy="576266"/>
                    </a:xfrm>
                    <a:prstGeom prst="rect"/>
                  </pic:spPr>
                </pic:pic>
              </a:graphicData>
            </a:graphic>
          </wp:inline>
        </w:drawing>
      </w:r>
    </w:p>
    <w:p>
      <w:pPr>
        <w:spacing w:before="0" w:after="240" w:line="264" w:lineRule="auto"/>
        <w:jc w:val="center"/>
      </w:pPr>
      <w:r>
        <w:rPr>
          <w:rFonts w:ascii="Arial" w:hAnsi="Arial" w:eastAsia="Arial"/>
          <w:b/>
          <w:color w:val="C00000"/>
          <w:sz w:val="48"/>
        </w:rPr>
        <w:t>SOFTWARE DESIGN SPECIFICATION</w:t>
      </w:r>
    </w:p>
    <w:p>
      <w:pPr>
        <w:spacing w:before="0" w:after="120" w:line="264" w:lineRule="auto"/>
        <w:jc w:val="center"/>
      </w:pPr>
      <w:r>
        <w:rPr>
          <w:rFonts w:ascii="Arial" w:hAnsi="Arial" w:eastAsia="Arial"/>
          <w:b/>
          <w:color w:val="C00000"/>
          <w:sz w:val="44"/>
        </w:rPr>
        <w:t>CafeChain Management System (SWP391 - Group 4)</w:t>
      </w:r>
    </w:p>
    <w:p>
      <w:pPr>
        <w:spacing w:before="0" w:after="3000" w:line="264" w:lineRule="auto"/>
        <w:jc w:val="center"/>
      </w:pPr>
      <w:r>
        <w:rPr>
          <w:rFonts w:ascii="Arial" w:hAnsi="Arial" w:eastAsia="Arial"/>
          <w:i/>
          <w:color w:val="000000"/>
          <w:sz w:val="30"/>
        </w:rPr>
        <w:t>Software Engineering Capstone</w:t>
      </w:r>
    </w:p>
    <w:p>
      <w:pPr>
        <w:spacing w:before="0" w:after="0" w:line="264" w:lineRule="auto"/>
        <w:jc w:val="center"/>
      </w:pPr>
      <w:r>
        <w:rPr>
          <w:rFonts w:ascii="Arial" w:hAnsi="Arial" w:eastAsia="Arial"/>
          <w:color w:val="000000"/>
          <w:sz w:val="28"/>
        </w:rPr>
        <w:t>Hanoi, July 2026</w:t>
      </w:r>
    </w:p>
    <w:p>
      <w:r>
        <w:br w:type="page"/>
      </w:r>
    </w:p>
    <w:p>
      <w:pPr>
        <w:spacing w:before="0" w:after="240" w:line="264" w:lineRule="auto"/>
      </w:pPr>
      <w:r>
        <w:rPr>
          <w:rFonts w:ascii="Arial" w:hAnsi="Arial" w:eastAsia="Arial"/>
          <w:b/>
          <w:color w:val="2E75B6"/>
          <w:sz w:val="36"/>
        </w:rPr>
        <w:t>Table of Contents</w:t>
      </w:r>
    </w:p>
    <w:p>
      <w:pPr>
        <w:tabs>
          <w:tab w:pos="9144" w:val="right" w:leader="dot"/>
        </w:tabs>
        <w:spacing w:before="0" w:after="80" w:line="240" w:lineRule="auto"/>
        <w:ind w:left="0"/>
      </w:pPr>
      <w:r>
        <w:rPr>
          <w:rFonts w:ascii="Arial" w:hAnsi="Arial" w:eastAsia="Arial"/>
          <w:color w:val="000000"/>
          <w:sz w:val="21"/>
        </w:rPr>
        <w:t>I. Record of Changes</w:t>
      </w:r>
      <w:r>
        <w:tab/>
      </w:r>
      <w:r>
        <w:rPr>
          <w:rFonts w:ascii="Arial" w:hAnsi="Arial" w:eastAsia="Arial"/>
          <w:color w:val="000000"/>
          <w:sz w:val="21"/>
        </w:rPr>
        <w:t>3</w:t>
      </w:r>
    </w:p>
    <w:p>
      <w:pPr>
        <w:tabs>
          <w:tab w:pos="9144" w:val="right" w:leader="dot"/>
        </w:tabs>
        <w:spacing w:before="0" w:after="80" w:line="240" w:lineRule="auto"/>
        <w:ind w:left="0"/>
      </w:pPr>
      <w:r>
        <w:rPr>
          <w:rFonts w:ascii="Arial" w:hAnsi="Arial" w:eastAsia="Arial"/>
          <w:color w:val="000000"/>
          <w:sz w:val="21"/>
        </w:rPr>
        <w:t>II. Software Design Document</w:t>
      </w:r>
      <w:r>
        <w:tab/>
      </w:r>
      <w:r>
        <w:rPr>
          <w:rFonts w:ascii="Arial" w:hAnsi="Arial" w:eastAsia="Arial"/>
          <w:color w:val="000000"/>
          <w:sz w:val="21"/>
        </w:rPr>
        <w:t>4</w:t>
      </w:r>
    </w:p>
    <w:p>
      <w:pPr>
        <w:tabs>
          <w:tab w:pos="9144" w:val="right" w:leader="dot"/>
        </w:tabs>
        <w:spacing w:before="0" w:after="80" w:line="240" w:lineRule="auto"/>
        <w:ind w:left="317"/>
      </w:pPr>
      <w:r>
        <w:rPr>
          <w:rFonts w:ascii="Arial" w:hAnsi="Arial" w:eastAsia="Arial"/>
          <w:color w:val="000000"/>
          <w:sz w:val="21"/>
        </w:rPr>
        <w:t>1. High Level Design</w:t>
      </w:r>
      <w:r>
        <w:tab/>
      </w:r>
      <w:r>
        <w:rPr>
          <w:rFonts w:ascii="Arial" w:hAnsi="Arial" w:eastAsia="Arial"/>
          <w:color w:val="000000"/>
          <w:sz w:val="21"/>
        </w:rPr>
        <w:t>4</w:t>
      </w:r>
    </w:p>
    <w:p>
      <w:pPr>
        <w:tabs>
          <w:tab w:pos="9144" w:val="right" w:leader="dot"/>
        </w:tabs>
        <w:spacing w:before="0" w:after="80" w:line="240" w:lineRule="auto"/>
        <w:ind w:left="634"/>
      </w:pPr>
      <w:r>
        <w:rPr>
          <w:rFonts w:ascii="Arial" w:hAnsi="Arial" w:eastAsia="Arial"/>
          <w:color w:val="000000"/>
          <w:sz w:val="21"/>
        </w:rPr>
        <w:t>1.1 Software Architecture</w:t>
      </w:r>
      <w:r>
        <w:tab/>
      </w:r>
      <w:r>
        <w:rPr>
          <w:rFonts w:ascii="Arial" w:hAnsi="Arial" w:eastAsia="Arial"/>
          <w:color w:val="000000"/>
          <w:sz w:val="21"/>
        </w:rPr>
        <w:t>4</w:t>
      </w:r>
    </w:p>
    <w:p>
      <w:pPr>
        <w:tabs>
          <w:tab w:pos="9144" w:val="right" w:leader="dot"/>
        </w:tabs>
        <w:spacing w:before="0" w:after="80" w:line="240" w:lineRule="auto"/>
        <w:ind w:left="634"/>
      </w:pPr>
      <w:r>
        <w:rPr>
          <w:rFonts w:ascii="Arial" w:hAnsi="Arial" w:eastAsia="Arial"/>
          <w:color w:val="000000"/>
          <w:sz w:val="21"/>
        </w:rPr>
        <w:t>1.2 Package Diagram and Conventions</w:t>
      </w:r>
      <w:r>
        <w:tab/>
      </w:r>
      <w:r>
        <w:rPr>
          <w:rFonts w:ascii="Arial" w:hAnsi="Arial" w:eastAsia="Arial"/>
          <w:color w:val="000000"/>
          <w:sz w:val="21"/>
        </w:rPr>
        <w:t>5</w:t>
      </w:r>
    </w:p>
    <w:p>
      <w:pPr>
        <w:tabs>
          <w:tab w:pos="9144" w:val="right" w:leader="dot"/>
        </w:tabs>
        <w:spacing w:before="0" w:after="80" w:line="240" w:lineRule="auto"/>
        <w:ind w:left="634"/>
      </w:pPr>
      <w:r>
        <w:rPr>
          <w:rFonts w:ascii="Arial" w:hAnsi="Arial" w:eastAsia="Arial"/>
          <w:color w:val="000000"/>
          <w:sz w:val="21"/>
        </w:rPr>
        <w:t>1.3 Database Design</w:t>
      </w:r>
      <w:r>
        <w:tab/>
      </w:r>
      <w:r>
        <w:rPr>
          <w:rFonts w:ascii="Arial" w:hAnsi="Arial" w:eastAsia="Arial"/>
          <w:color w:val="000000"/>
          <w:sz w:val="21"/>
        </w:rPr>
        <w:t>6</w:t>
      </w:r>
    </w:p>
    <w:p>
      <w:pPr>
        <w:tabs>
          <w:tab w:pos="9144" w:val="right" w:leader="dot"/>
        </w:tabs>
        <w:spacing w:before="0" w:after="80" w:line="240" w:lineRule="auto"/>
        <w:ind w:left="317"/>
      </w:pPr>
      <w:r>
        <w:rPr>
          <w:rFonts w:ascii="Arial" w:hAnsi="Arial" w:eastAsia="Arial"/>
          <w:color w:val="000000"/>
          <w:sz w:val="21"/>
        </w:rPr>
        <w:t>2. State Transition Diagrams</w:t>
      </w:r>
      <w:r>
        <w:tab/>
      </w:r>
      <w:r>
        <w:rPr>
          <w:rFonts w:ascii="Arial" w:hAnsi="Arial" w:eastAsia="Arial"/>
          <w:color w:val="000000"/>
          <w:sz w:val="21"/>
        </w:rPr>
        <w:t>9</w:t>
      </w:r>
    </w:p>
    <w:p>
      <w:pPr>
        <w:tabs>
          <w:tab w:pos="9144" w:val="right" w:leader="dot"/>
        </w:tabs>
        <w:spacing w:before="0" w:after="80" w:line="240" w:lineRule="auto"/>
        <w:ind w:left="634"/>
      </w:pPr>
      <w:r>
        <w:rPr>
          <w:rFonts w:ascii="Arial" w:hAnsi="Arial" w:eastAsia="Arial"/>
          <w:color w:val="000000"/>
          <w:sz w:val="21"/>
        </w:rPr>
        <w:t>2.1 Order Item / KDS Lifecycle</w:t>
      </w:r>
      <w:r>
        <w:tab/>
      </w:r>
      <w:r>
        <w:rPr>
          <w:rFonts w:ascii="Arial" w:hAnsi="Arial" w:eastAsia="Arial"/>
          <w:color w:val="000000"/>
          <w:sz w:val="21"/>
        </w:rPr>
        <w:t>9</w:t>
      </w:r>
    </w:p>
    <w:p>
      <w:pPr>
        <w:tabs>
          <w:tab w:pos="9144" w:val="right" w:leader="dot"/>
        </w:tabs>
        <w:spacing w:before="0" w:after="80" w:line="240" w:lineRule="auto"/>
        <w:ind w:left="634"/>
      </w:pPr>
      <w:r>
        <w:rPr>
          <w:rFonts w:ascii="Arial" w:hAnsi="Arial" w:eastAsia="Arial"/>
          <w:color w:val="000000"/>
          <w:sz w:val="21"/>
        </w:rPr>
        <w:t>2.2 Payment and Session Lifecycle</w:t>
      </w:r>
      <w:r>
        <w:tab/>
      </w:r>
      <w:r>
        <w:rPr>
          <w:rFonts w:ascii="Arial" w:hAnsi="Arial" w:eastAsia="Arial"/>
          <w:color w:val="000000"/>
          <w:sz w:val="21"/>
        </w:rPr>
        <w:t>10</w:t>
      </w:r>
    </w:p>
    <w:p>
      <w:pPr>
        <w:tabs>
          <w:tab w:pos="9144" w:val="right" w:leader="dot"/>
        </w:tabs>
        <w:spacing w:before="0" w:after="80" w:line="240" w:lineRule="auto"/>
        <w:ind w:left="634"/>
      </w:pPr>
      <w:r>
        <w:rPr>
          <w:rFonts w:ascii="Arial" w:hAnsi="Arial" w:eastAsia="Arial"/>
          <w:color w:val="000000"/>
          <w:sz w:val="21"/>
        </w:rPr>
        <w:t>2.3 Receipt and Ledger Lifecycle</w:t>
      </w:r>
      <w:r>
        <w:tab/>
      </w:r>
      <w:r>
        <w:rPr>
          <w:rFonts w:ascii="Arial" w:hAnsi="Arial" w:eastAsia="Arial"/>
          <w:color w:val="000000"/>
          <w:sz w:val="21"/>
        </w:rPr>
        <w:t>10</w:t>
      </w:r>
    </w:p>
    <w:p>
      <w:pPr>
        <w:tabs>
          <w:tab w:pos="9144" w:val="right" w:leader="dot"/>
        </w:tabs>
        <w:spacing w:before="0" w:after="80" w:line="240" w:lineRule="auto"/>
        <w:ind w:left="317"/>
      </w:pPr>
      <w:r>
        <w:rPr>
          <w:rFonts w:ascii="Arial" w:hAnsi="Arial" w:eastAsia="Arial"/>
          <w:color w:val="000000"/>
          <w:sz w:val="21"/>
        </w:rPr>
        <w:t>3. Detailed Design</w:t>
      </w:r>
      <w:r>
        <w:tab/>
      </w:r>
      <w:r>
        <w:rPr>
          <w:rFonts w:ascii="Arial" w:hAnsi="Arial" w:eastAsia="Arial"/>
          <w:color w:val="000000"/>
          <w:sz w:val="21"/>
        </w:rPr>
        <w:t>11</w:t>
      </w:r>
    </w:p>
    <w:p>
      <w:pPr>
        <w:tabs>
          <w:tab w:pos="9144" w:val="right" w:leader="dot"/>
        </w:tabs>
        <w:spacing w:before="0" w:after="80" w:line="240" w:lineRule="auto"/>
        <w:ind w:left="634"/>
      </w:pPr>
      <w:r>
        <w:rPr>
          <w:rFonts w:ascii="Arial" w:hAnsi="Arial" w:eastAsia="Arial"/>
          <w:color w:val="000000"/>
          <w:sz w:val="21"/>
        </w:rPr>
        <w:t>3.1 Order-to-Fulfillment Design</w:t>
      </w:r>
      <w:r>
        <w:tab/>
      </w:r>
      <w:r>
        <w:rPr>
          <w:rFonts w:ascii="Arial" w:hAnsi="Arial" w:eastAsia="Arial"/>
          <w:color w:val="000000"/>
          <w:sz w:val="21"/>
        </w:rPr>
        <w:t>11</w:t>
      </w:r>
    </w:p>
    <w:p>
      <w:pPr>
        <w:tabs>
          <w:tab w:pos="9144" w:val="right" w:leader="dot"/>
        </w:tabs>
        <w:spacing w:before="0" w:after="80" w:line="240" w:lineRule="auto"/>
        <w:ind w:left="634"/>
      </w:pPr>
      <w:r>
        <w:rPr>
          <w:rFonts w:ascii="Arial" w:hAnsi="Arial" w:eastAsia="Arial"/>
          <w:color w:val="000000"/>
          <w:sz w:val="21"/>
        </w:rPr>
        <w:t>3.2 Checkout, Voucher, and Payment</w:t>
      </w:r>
      <w:r>
        <w:tab/>
      </w:r>
      <w:r>
        <w:rPr>
          <w:rFonts w:ascii="Arial" w:hAnsi="Arial" w:eastAsia="Arial"/>
          <w:color w:val="000000"/>
          <w:sz w:val="21"/>
        </w:rPr>
        <w:t>14</w:t>
      </w:r>
    </w:p>
    <w:p>
      <w:pPr>
        <w:tabs>
          <w:tab w:pos="9144" w:val="right" w:leader="dot"/>
        </w:tabs>
        <w:spacing w:before="0" w:after="80" w:line="240" w:lineRule="auto"/>
        <w:ind w:left="634"/>
      </w:pPr>
      <w:r>
        <w:rPr>
          <w:rFonts w:ascii="Arial" w:hAnsi="Arial" w:eastAsia="Arial"/>
          <w:color w:val="000000"/>
          <w:sz w:val="21"/>
        </w:rPr>
        <w:t>3.3 Inventory, Prep, and Waste</w:t>
      </w:r>
      <w:r>
        <w:tab/>
      </w:r>
      <w:r>
        <w:rPr>
          <w:rFonts w:ascii="Arial" w:hAnsi="Arial" w:eastAsia="Arial"/>
          <w:color w:val="000000"/>
          <w:sz w:val="21"/>
        </w:rPr>
        <w:t>15</w:t>
      </w:r>
    </w:p>
    <w:p>
      <w:pPr>
        <w:tabs>
          <w:tab w:pos="9144" w:val="right" w:leader="dot"/>
        </w:tabs>
        <w:spacing w:before="0" w:after="80" w:line="240" w:lineRule="auto"/>
        <w:ind w:left="634"/>
      </w:pPr>
      <w:r>
        <w:rPr>
          <w:rFonts w:ascii="Arial" w:hAnsi="Arial" w:eastAsia="Arial"/>
          <w:color w:val="000000"/>
          <w:sz w:val="21"/>
        </w:rPr>
        <w:t>3.4 Authentication, Branch Scope, and HR</w:t>
      </w:r>
      <w:r>
        <w:tab/>
      </w:r>
      <w:r>
        <w:rPr>
          <w:rFonts w:ascii="Arial" w:hAnsi="Arial" w:eastAsia="Arial"/>
          <w:color w:val="000000"/>
          <w:sz w:val="21"/>
        </w:rPr>
        <w:t>16</w:t>
      </w:r>
    </w:p>
    <w:p>
      <w:pPr>
        <w:tabs>
          <w:tab w:pos="9144" w:val="right" w:leader="dot"/>
        </w:tabs>
        <w:spacing w:before="0" w:after="80" w:line="240" w:lineRule="auto"/>
        <w:ind w:left="317"/>
      </w:pPr>
      <w:r>
        <w:rPr>
          <w:rFonts w:ascii="Arial" w:hAnsi="Arial" w:eastAsia="Arial"/>
          <w:color w:val="000000"/>
          <w:sz w:val="21"/>
        </w:rPr>
        <w:t>Appendix A. Database Data Dictionary</w:t>
      </w:r>
      <w:r>
        <w:tab/>
      </w:r>
      <w:r>
        <w:rPr>
          <w:rFonts w:ascii="Arial" w:hAnsi="Arial" w:eastAsia="Arial"/>
          <w:color w:val="000000"/>
          <w:sz w:val="21"/>
        </w:rPr>
        <w:t>17</w:t>
      </w:r>
    </w:p>
    <w:p>
      <w:pPr>
        <w:tabs>
          <w:tab w:pos="9144" w:val="right" w:leader="dot"/>
        </w:tabs>
        <w:spacing w:before="0" w:after="80" w:line="240" w:lineRule="auto"/>
        <w:ind w:left="317"/>
      </w:pPr>
      <w:r>
        <w:rPr>
          <w:rFonts w:ascii="Arial" w:hAnsi="Arial" w:eastAsia="Arial"/>
          <w:color w:val="000000"/>
          <w:sz w:val="21"/>
        </w:rPr>
        <w:t>Appendix B. Route and Component Catalogue</w:t>
      </w:r>
      <w:r>
        <w:tab/>
      </w:r>
      <w:r>
        <w:rPr>
          <w:rFonts w:ascii="Arial" w:hAnsi="Arial" w:eastAsia="Arial"/>
          <w:color w:val="000000"/>
          <w:sz w:val="21"/>
        </w:rPr>
        <w:t>39</w:t>
      </w:r>
    </w:p>
    <w:p>
      <w:pPr>
        <w:spacing w:before="40" w:after="120" w:line="264" w:lineRule="auto"/>
      </w:pPr>
      <w:r>
        <w:rPr>
          <w:rFonts w:ascii="Arial" w:hAnsi="Arial" w:eastAsia="Arial"/>
          <w:b/>
          <w:i/>
          <w:color w:val="2E75B6"/>
          <w:sz w:val="21"/>
        </w:rPr>
        <w:t xml:space="preserve">Document scope: </w:t>
      </w:r>
      <w:r>
        <w:rPr>
          <w:rFonts w:ascii="Arial" w:hAnsi="Arial" w:eastAsia="Arial"/>
          <w:i/>
          <w:color w:val="2E75B6"/>
          <w:sz w:val="21"/>
        </w:rPr>
        <w:t>This SDS is a design baseline derived from the current CafeChain source code, database migration, and deployed route structure on 22 July 2026. It describes implemented behavior; it does not treat historical plan entries as the source of truth.</w:t>
      </w:r>
    </w:p>
    <w:p>
      <w:r>
        <w:br w:type="page"/>
      </w:r>
    </w:p>
    <w:p>
      <w:pPr>
        <w:pStyle w:val="Heading1"/>
      </w:pPr>
      <w:r>
        <w:t>I. Record of Changes</w:t>
      </w:r>
    </w:p>
    <w:p>
      <w:pPr>
        <w:spacing w:before="0" w:after="120" w:line="264" w:lineRule="auto"/>
      </w:pPr>
      <w:r>
        <w:rPr>
          <w:rFonts w:ascii="Arial" w:hAnsi="Arial" w:eastAsia="Arial"/>
          <w:i w:val="0"/>
          <w:color w:val="000000"/>
          <w:sz w:val="22"/>
        </w:rPr>
        <w:t>Change notation: A = Added, M = Modified, D = Deleted. This issue establishes a complete implementation-aligned SDS for the CafeChain Management System.</w:t>
      </w:r>
    </w:p>
    <w:tbl>
      <w:tblPr>
        <w:tblW w:type="dxa" w:w="9360"/>
        <w:jc w:val="left"/>
        <w:tblLayout w:type="fixed"/>
        <w:tblLook w:firstColumn="1" w:firstRow="1" w:lastColumn="0" w:lastRow="0" w:noHBand="0" w:noVBand="1" w:val="04A0"/>
        <w:tblInd w:type="dxa" w:w="120"/>
      </w:tblPr>
      <w:tblGrid>
        <w:gridCol w:w="1300"/>
        <w:gridCol w:w="900"/>
        <w:gridCol w:w="2000"/>
        <w:gridCol w:w="5160"/>
      </w:tblGrid>
      <w:tr>
        <w:trPr>
          <w:tblHeader w:val="true"/>
        </w:trPr>
        <w:tc>
          <w:tcPr>
            <w:tcW w:type="dxa" w:w="13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8"/>
              </w:rPr>
              <w:t>Date</w:t>
            </w:r>
          </w:p>
        </w:tc>
        <w:tc>
          <w:tcPr>
            <w:tcW w:type="dxa" w:w="9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8"/>
              </w:rPr>
              <w:t>A/M/D</w:t>
            </w:r>
          </w:p>
        </w:tc>
        <w:tc>
          <w:tcPr>
            <w:tcW w:type="dxa" w:w="20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8"/>
              </w:rPr>
              <w:t>In charge</w:t>
            </w:r>
          </w:p>
        </w:tc>
        <w:tc>
          <w:tcPr>
            <w:tcW w:type="dxa" w:w="51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8"/>
              </w:rPr>
              <w:t>Change description</w:t>
            </w:r>
          </w:p>
        </w:tc>
      </w:tr>
      <w:tr>
        <w:trPr>
          <w:cantSplit/>
        </w:trPr>
        <w:tc>
          <w:tcPr>
            <w:tcW w:type="dxa" w:w="1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8"/>
              </w:rPr>
              <w:t>22/07/2026</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8"/>
              </w:rPr>
              <w:t>A</w:t>
            </w:r>
          </w:p>
        </w:tc>
        <w:tc>
          <w:tcPr>
            <w:tcW w:type="dxa" w:w="2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8"/>
              </w:rPr>
              <w:t>SWP391 Group 4</w:t>
            </w:r>
          </w:p>
        </w:tc>
        <w:tc>
          <w:tcPr>
            <w:tcW w:type="dxa" w:w="5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8"/>
              </w:rPr>
              <w:t>Initial professional SDS compiled from the current Java/JSP implementation, SQL Server schema, route catalogue, core business services, and operational workflows.</w:t>
            </w:r>
          </w:p>
        </w:tc>
      </w:tr>
      <w:tr>
        <w:trPr>
          <w:cantSplit/>
        </w:trPr>
        <w:tc>
          <w:tcPr>
            <w:tcW w:type="dxa" w:w="1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8"/>
              </w:rPr>
              <w:t>22/07/2026</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8"/>
              </w:rPr>
              <w:t>M</w:t>
            </w:r>
          </w:p>
        </w:tc>
        <w:tc>
          <w:tcPr>
            <w:tcW w:type="dxa" w:w="2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8"/>
              </w:rPr>
              <w:t>SWP391 Group 4</w:t>
            </w:r>
          </w:p>
        </w:tc>
        <w:tc>
          <w:tcPr>
            <w:tcW w:type="dxa" w:w="5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8"/>
              </w:rPr>
              <w:t>Added complete high-level architecture, package conventions, state-transition flows, detailed order/payment/inventory/HR design, database catalogue, and route traceability.</w:t>
            </w:r>
          </w:p>
        </w:tc>
      </w:tr>
    </w:tbl>
    <w:p>
      <w:pPr>
        <w:spacing w:after="60"/>
      </w:pPr>
    </w:p>
    <w:p>
      <w:r>
        <w:br w:type="page"/>
      </w:r>
    </w:p>
    <w:p>
      <w:pPr>
        <w:pStyle w:val="Heading1"/>
      </w:pPr>
      <w:r>
        <w:t>II. Software Design Document</w:t>
      </w:r>
    </w:p>
    <w:p>
      <w:pPr>
        <w:pStyle w:val="Heading2"/>
      </w:pPr>
      <w:r>
        <w:t>1. High Level Design</w:t>
      </w:r>
    </w:p>
    <w:p>
      <w:pPr>
        <w:spacing w:before="0" w:after="120" w:line="264" w:lineRule="auto"/>
      </w:pPr>
      <w:r>
        <w:rPr>
          <w:rFonts w:ascii="Arial" w:hAnsi="Arial" w:eastAsia="Arial"/>
          <w:i w:val="0"/>
          <w:color w:val="000000"/>
          <w:sz w:val="22"/>
        </w:rPr>
        <w:t>CafeChain is a server-rendered, dine-in cafe-chain management system. It supports Admin, Branch Manager, Cashier, Barista, and anonymous QR-table customer journeys. The system is packaged as a Maven WAR and runs on Apache Tomcat 10+ with Java 17, Jakarta Servlet/JSP, JSTL, HikariCP, and Microsoft SQL Server.</w:t>
      </w:r>
    </w:p>
    <w:p>
      <w:pPr>
        <w:pStyle w:val="Heading3"/>
      </w:pPr>
      <w:r>
        <w:t>1.1 Software Architecture</w:t>
      </w:r>
    </w:p>
    <w:p>
      <w:pPr>
        <w:keepNext/>
        <w:spacing w:before="40" w:after="0" w:line="240" w:lineRule="auto"/>
        <w:jc w:val="center"/>
      </w:pPr>
      <w:r>
        <w:drawing>
          <wp:inline xmlns:a="http://schemas.openxmlformats.org/drawingml/2006/main" xmlns:pic="http://schemas.openxmlformats.org/drawingml/2006/picture">
            <wp:extent cx="5806440" cy="3193542"/>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193542"/>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1. Layered architecture implemented by the CafeChain WAR.</w:t>
      </w:r>
    </w:p>
    <w:p>
      <w:pPr>
        <w:spacing w:before="0" w:after="120" w:line="264" w:lineRule="auto"/>
      </w:pPr>
      <w:r>
        <w:rPr>
          <w:rFonts w:ascii="Arial" w:hAnsi="Arial" w:eastAsia="Arial"/>
          <w:i w:val="0"/>
          <w:color w:val="000000"/>
          <w:sz w:val="22"/>
        </w:rPr>
        <w:t>The browser communicates with servlet routes over HTTP. Staff portals are server-rendered JSP pages; QR and KDS views also use AJAX polling for lightweight status/card refreshes. The server remains the authority for validation, authorization, branch scope, transactions, and all inventory and payment mutations.</w:t>
      </w:r>
    </w:p>
    <w:tbl>
      <w:tblPr>
        <w:tblW w:type="dxa" w:w="9360"/>
        <w:jc w:val="left"/>
        <w:tblLayout w:type="fixed"/>
        <w:tblLook w:firstColumn="1" w:firstRow="1" w:lastColumn="0" w:lastRow="0" w:noHBand="0" w:noVBand="1" w:val="04A0"/>
        <w:tblInd w:type="dxa" w:w="120"/>
      </w:tblPr>
      <w:tblGrid>
        <w:gridCol w:w="1800"/>
        <w:gridCol w:w="3100"/>
        <w:gridCol w:w="4460"/>
      </w:tblGrid>
      <w:tr>
        <w:trPr>
          <w:tblHeader w:val="true"/>
        </w:trPr>
        <w:tc>
          <w:tcPr>
            <w:tcW w:type="dxa" w:w="18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Component</w:t>
            </w:r>
          </w:p>
        </w:tc>
        <w:tc>
          <w:tcPr>
            <w:tcW w:type="dxa" w:w="31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Implementation</w:t>
            </w:r>
          </w:p>
        </w:tc>
        <w:tc>
          <w:tcPr>
            <w:tcW w:type="dxa" w:w="44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Responsibility</w:t>
            </w:r>
          </w:p>
        </w:tc>
      </w:tr>
      <w:tr>
        <w:trPr>
          <w:cantSplit/>
        </w:trPr>
        <w:tc>
          <w:tcPr>
            <w:tcW w:type="dxa" w:w="1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Presentation</w:t>
            </w:r>
          </w:p>
        </w:tc>
        <w:tc>
          <w:tcPr>
            <w:tcW w:type="dxa" w:w="3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JSP + JSTL, CSS, JavaScript</w:t>
            </w:r>
          </w:p>
        </w:tc>
        <w:tc>
          <w:tcPr>
            <w:tcW w:type="dxa" w:w="44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Renders staff and mobile QR views. JSP uses EL/JSTL; the design avoids scriptlets.</w:t>
            </w:r>
          </w:p>
        </w:tc>
      </w:tr>
      <w:tr>
        <w:trPr>
          <w:cantSplit/>
        </w:trPr>
        <w:tc>
          <w:tcPr>
            <w:tcW w:type="dxa" w:w="1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Request guards</w:t>
            </w:r>
          </w:p>
        </w:tc>
        <w:tc>
          <w:tcPr>
            <w:tcW w:type="dxa" w:w="3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CharsetFilter, AuthFilter, RbacFilter, BranchScopeFilter, CashierDutyGuardFilter</w:t>
            </w:r>
          </w:p>
        </w:tc>
        <w:tc>
          <w:tcPr>
            <w:tcW w:type="dxa" w:w="44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Normalizes encoding; enforces authenticated access, role prefixes, branch context, CSRF-dependent write flows, and cashier duty prerequisite.</w:t>
            </w:r>
          </w:p>
        </w:tc>
      </w:tr>
      <w:tr>
        <w:trPr>
          <w:cantSplit/>
        </w:trPr>
        <w:tc>
          <w:tcPr>
            <w:tcW w:type="dxa" w:w="1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Controller</w:t>
            </w:r>
          </w:p>
        </w:tc>
        <w:tc>
          <w:tcPr>
            <w:tcW w:type="dxa" w:w="3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Servlet classes under com.cafe.controller</w:t>
            </w:r>
          </w:p>
        </w:tc>
        <w:tc>
          <w:tcPr>
            <w:tcW w:type="dxa" w:w="44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Dispatches GET/POST actions, validates request shape, invokes services, sets view data, and returns JSP, redirect, or JSON.</w:t>
            </w:r>
          </w:p>
        </w:tc>
      </w:tr>
      <w:tr>
        <w:trPr>
          <w:cantSplit/>
        </w:trPr>
        <w:tc>
          <w:tcPr>
            <w:tcW w:type="dxa" w:w="1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Service</w:t>
            </w:r>
          </w:p>
        </w:tc>
        <w:tc>
          <w:tcPr>
            <w:tcW w:type="dxa" w:w="3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Domain service classes</w:t>
            </w:r>
          </w:p>
        </w:tc>
        <w:tc>
          <w:tcPr>
            <w:tcW w:type="dxa" w:w="44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Owns business rules and transaction boundaries. Core examples are OrderService, InventoryService, BillingService, VoucherService, and AttendanceService.</w:t>
            </w:r>
          </w:p>
        </w:tc>
      </w:tr>
      <w:tr>
        <w:trPr>
          <w:cantSplit/>
        </w:trPr>
        <w:tc>
          <w:tcPr>
            <w:tcW w:type="dxa" w:w="1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Data access</w:t>
            </w:r>
          </w:p>
        </w:tc>
        <w:tc>
          <w:tcPr>
            <w:tcW w:type="dxa" w:w="3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JDBC DAO classes</w:t>
            </w:r>
          </w:p>
        </w:tc>
        <w:tc>
          <w:tcPr>
            <w:tcW w:type="dxa" w:w="44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Executes SQL through caller-provided Connection objects and maps rows to model objects.</w:t>
            </w:r>
          </w:p>
        </w:tc>
      </w:tr>
      <w:tr>
        <w:trPr>
          <w:cantSplit/>
        </w:trPr>
        <w:tc>
          <w:tcPr>
            <w:tcW w:type="dxa" w:w="1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Persistence</w:t>
            </w:r>
          </w:p>
        </w:tc>
        <w:tc>
          <w:tcPr>
            <w:tcW w:type="dxa" w:w="3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HikariCP + SQL Server CafeChain</w:t>
            </w:r>
          </w:p>
        </w:tc>
        <w:tc>
          <w:tcPr>
            <w:tcW w:type="dxa" w:w="44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HikariCP supplies connections. SQL Server stores 49 tables in iam, org, catalog, inventory, hr, sales, payment, and ops schemas.</w:t>
            </w:r>
          </w:p>
        </w:tc>
      </w:tr>
      <w:tr>
        <w:trPr>
          <w:cantSplit/>
        </w:trPr>
        <w:tc>
          <w:tcPr>
            <w:tcW w:type="dxa" w:w="1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Operational events</w:t>
            </w:r>
          </w:p>
        </w:tc>
        <w:tc>
          <w:tcPr>
            <w:tcW w:type="dxa" w:w="3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EventPublisher -&gt; ops.OutboxEvent</w:t>
            </w:r>
          </w:p>
        </w:tc>
        <w:tc>
          <w:tcPr>
            <w:tcW w:type="dxa" w:w="44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Persists domain events inside business transactions, including order.created, order.status_changed, payment.completed, inventory.deducted, and stock.low.</w:t>
            </w:r>
          </w:p>
        </w:tc>
      </w:tr>
    </w:tbl>
    <w:p>
      <w:pPr>
        <w:spacing w:after="60"/>
      </w:pPr>
    </w:p>
    <w:p>
      <w:pPr>
        <w:spacing w:before="40" w:after="120" w:line="264" w:lineRule="auto"/>
      </w:pPr>
      <w:r>
        <w:rPr>
          <w:rFonts w:ascii="Arial" w:hAnsi="Arial" w:eastAsia="Arial"/>
          <w:b/>
          <w:i/>
          <w:color w:val="2E75B6"/>
          <w:sz w:val="21"/>
        </w:rPr>
        <w:t xml:space="preserve">Critical contracts: </w:t>
      </w:r>
      <w:r>
        <w:rPr>
          <w:rFonts w:ascii="Arial" w:hAnsi="Arial" w:eastAsia="Arial"/>
          <w:i/>
          <w:color w:val="2E75B6"/>
          <w:sz w:val="21"/>
        </w:rPr>
        <w:t>(1) COUNTER and QR orders share sales.Orders and OrderService. (2) Every stock change goes through InventoryService.applyTxn and inventory.InventoryTransaction; business features do not directly mutate QuantityOnHand. (3) READY is the order-item inventory commit boundary. (4) RAW is consumed by prep; PREPPED is consumed when the drink is made, preventing double deduction.</w:t>
      </w:r>
    </w:p>
    <w:p>
      <w:pPr>
        <w:pStyle w:val="Heading3"/>
      </w:pPr>
      <w:r>
        <w:t>1.2 Package Diagram and Conventions</w:t>
      </w:r>
    </w:p>
    <w:p>
      <w:pPr>
        <w:keepNext/>
        <w:spacing w:before="40" w:after="0" w:line="240" w:lineRule="auto"/>
        <w:jc w:val="center"/>
      </w:pPr>
      <w:r>
        <w:drawing>
          <wp:inline xmlns:a="http://schemas.openxmlformats.org/drawingml/2006/main" xmlns:pic="http://schemas.openxmlformats.org/drawingml/2006/picture">
            <wp:extent cx="5806440" cy="2999994"/>
            <wp:docPr id="3" name="Picture 3"/>
            <wp:cNvGraphicFramePr>
              <a:graphicFrameLocks noChangeAspect="1"/>
            </wp:cNvGraphicFramePr>
            <a:graphic>
              <a:graphicData uri="http://schemas.openxmlformats.org/drawingml/2006/picture">
                <pic:pic>
                  <pic:nvPicPr>
                    <pic:cNvPr id="0" name="packages.png"/>
                    <pic:cNvPicPr/>
                  </pic:nvPicPr>
                  <pic:blipFill>
                    <a:blip r:embed="rId12"/>
                    <a:stretch>
                      <a:fillRect/>
                    </a:stretch>
                  </pic:blipFill>
                  <pic:spPr>
                    <a:xfrm>
                      <a:off x="0" y="0"/>
                      <a:ext cx="5806440" cy="2999994"/>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2. Package dependency direction and shared infrastructure.</w:t>
      </w:r>
    </w:p>
    <w:p>
      <w:pPr>
        <w:spacing w:before="0" w:after="120" w:line="264" w:lineRule="auto"/>
      </w:pPr>
      <w:r>
        <w:rPr>
          <w:rFonts w:ascii="Arial" w:hAnsi="Arial" w:eastAsia="Arial"/>
          <w:i w:val="0"/>
          <w:color w:val="000000"/>
          <w:sz w:val="22"/>
        </w:rPr>
        <w:t>Naming and dependency rules are deliberately simple: {Feature}Servlet receives web input; {Domain}Service contains business behavior and transactions; {Entity}Dao performs persistence; models are singular nouns. Controllers never contain SQL. DAO methods receive an existing Connection when participating in a service transaction. Services may depend on DAO/model/common/config; reverse dependencies are avoided.</w:t>
      </w:r>
    </w:p>
    <w:tbl>
      <w:tblPr>
        <w:tblW w:type="dxa" w:w="9360"/>
        <w:jc w:val="left"/>
        <w:tblLayout w:type="fixed"/>
        <w:tblLook w:firstColumn="1" w:firstRow="1" w:lastColumn="0" w:lastRow="0" w:noHBand="0" w:noVBand="1" w:val="04A0"/>
        <w:tblInd w:type="dxa" w:w="120"/>
      </w:tblPr>
      <w:tblGrid>
        <w:gridCol w:w="650"/>
        <w:gridCol w:w="3000"/>
        <w:gridCol w:w="5710"/>
      </w:tblGrid>
      <w:tr>
        <w:trPr>
          <w:tblHeader w:val="true"/>
        </w:trPr>
        <w:tc>
          <w:tcPr>
            <w:tcW w:type="dxa" w:w="6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No.</w:t>
            </w:r>
          </w:p>
        </w:tc>
        <w:tc>
          <w:tcPr>
            <w:tcW w:type="dxa" w:w="30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Package</w:t>
            </w:r>
          </w:p>
        </w:tc>
        <w:tc>
          <w:tcPr>
            <w:tcW w:type="dxa" w:w="571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Description</w:t>
            </w:r>
          </w:p>
        </w:tc>
      </w:tr>
      <w:tr>
        <w:trPr>
          <w:cantSplit/>
        </w:trPr>
        <w:tc>
          <w:tcPr>
            <w:tcW w:type="dxa" w:w="6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01</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com.cafe.config</w:t>
            </w:r>
          </w:p>
        </w:tc>
        <w:tc>
          <w:tcPr>
            <w:tcW w:type="dxa" w:w="57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Database bootstrap and HikariCP datasource configuration.</w:t>
            </w:r>
          </w:p>
        </w:tc>
      </w:tr>
      <w:tr>
        <w:trPr>
          <w:cantSplit/>
        </w:trPr>
        <w:tc>
          <w:tcPr>
            <w:tcW w:type="dxa" w:w="6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02</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com.cafe.common</w:t>
            </w:r>
          </w:p>
        </w:tc>
        <w:tc>
          <w:tcPr>
            <w:tcW w:type="dxa" w:w="57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Shared status enums, CSRF/session/password utilities, business-day calculations, calculators, events, and domain exceptions.</w:t>
            </w:r>
          </w:p>
        </w:tc>
      </w:tr>
      <w:tr>
        <w:trPr>
          <w:cantSplit/>
        </w:trPr>
        <w:tc>
          <w:tcPr>
            <w:tcW w:type="dxa" w:w="6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03</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com.cafe.model</w:t>
            </w:r>
          </w:p>
        </w:tc>
        <w:tc>
          <w:tcPr>
            <w:tcW w:type="dxa" w:w="57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POJO entities and read models used between DAO, service, controller, and JSP.</w:t>
            </w:r>
          </w:p>
        </w:tc>
      </w:tr>
      <w:tr>
        <w:trPr>
          <w:cantSplit/>
        </w:trPr>
        <w:tc>
          <w:tcPr>
            <w:tcW w:type="dxa" w:w="6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04</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com.cafe.dao.{admin|manager|cashier|shared}</w:t>
            </w:r>
          </w:p>
        </w:tc>
        <w:tc>
          <w:tcPr>
            <w:tcW w:type="dxa" w:w="57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JDBC persistence components aligned to database entities and role-owned aggregates.</w:t>
            </w:r>
          </w:p>
        </w:tc>
      </w:tr>
      <w:tr>
        <w:trPr>
          <w:cantSplit/>
        </w:trPr>
        <w:tc>
          <w:tcPr>
            <w:tcW w:type="dxa" w:w="6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05</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com.cafe.service.{admin|manager|cashier|barista|customer|shared|auth}</w:t>
            </w:r>
          </w:p>
        </w:tc>
        <w:tc>
          <w:tcPr>
            <w:tcW w:type="dxa" w:w="57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Business behavior, validation, orchestration, and transaction management.</w:t>
            </w:r>
          </w:p>
        </w:tc>
      </w:tr>
      <w:tr>
        <w:trPr>
          <w:cantSplit/>
        </w:trPr>
        <w:tc>
          <w:tcPr>
            <w:tcW w:type="dxa" w:w="6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06</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com.cafe.controller.{admin|manager|cashier|barista|customer|auth|shared}</w:t>
            </w:r>
          </w:p>
        </w:tc>
        <w:tc>
          <w:tcPr>
            <w:tcW w:type="dxa" w:w="57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Servlet endpoints grouped by portal or public/health concerns.</w:t>
            </w:r>
          </w:p>
        </w:tc>
      </w:tr>
      <w:tr>
        <w:trPr>
          <w:cantSplit/>
        </w:trPr>
        <w:tc>
          <w:tcPr>
            <w:tcW w:type="dxa" w:w="6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07</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com.cafe.filter and com.cafe.listener</w:t>
            </w:r>
          </w:p>
        </w:tc>
        <w:tc>
          <w:tcPr>
            <w:tcW w:type="dxa" w:w="57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Cross-cutting request controls and startup lifecycle actions.</w:t>
            </w:r>
          </w:p>
        </w:tc>
      </w:tr>
      <w:tr>
        <w:trPr>
          <w:cantSplit/>
        </w:trPr>
        <w:tc>
          <w:tcPr>
            <w:tcW w:type="dxa" w:w="6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08</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src/main/webapp/WEB-INF/views</w:t>
            </w:r>
          </w:p>
        </w:tc>
        <w:tc>
          <w:tcPr>
            <w:tcW w:type="dxa" w:w="57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JSP views grouped by role, with shared layout fragments and a single cafe-theme.css design system.</w:t>
            </w:r>
          </w:p>
        </w:tc>
      </w:tr>
    </w:tbl>
    <w:p>
      <w:pPr>
        <w:spacing w:after="60"/>
      </w:pPr>
    </w:p>
    <w:p>
      <w:pPr>
        <w:pStyle w:val="Heading3"/>
      </w:pPr>
      <w:r>
        <w:t>1.3 Database Design</w:t>
      </w:r>
    </w:p>
    <w:p>
      <w:pPr>
        <w:spacing w:before="0" w:after="120" w:line="264" w:lineRule="auto"/>
      </w:pPr>
      <w:r>
        <w:rPr>
          <w:rFonts w:ascii="Arial" w:hAnsi="Arial" w:eastAsia="Arial"/>
          <w:i w:val="0"/>
          <w:color w:val="000000"/>
          <w:sz w:val="22"/>
        </w:rPr>
        <w:t>The authoritative database definition is sql/database.sql. It is an idempotent SQL Server migration/seed script for database CafeChain. It creates 49 tables, required constraints and indexes, operational views, and controlled demo data when explicitly enabled. The application configures HikariCP via src/main/resources/db.properties; environment-specific secrets are not part of this SDS.</w:t>
      </w:r>
    </w:p>
    <w:tbl>
      <w:tblPr>
        <w:tblW w:type="dxa" w:w="9360"/>
        <w:jc w:val="left"/>
        <w:tblLayout w:type="fixed"/>
        <w:tblLook w:firstColumn="1" w:firstRow="1" w:lastColumn="0" w:lastRow="0" w:noHBand="0" w:noVBand="1" w:val="04A0"/>
        <w:tblInd w:type="dxa" w:w="120"/>
      </w:tblPr>
      <w:tblGrid>
        <w:gridCol w:w="1200"/>
        <w:gridCol w:w="900"/>
        <w:gridCol w:w="7260"/>
      </w:tblGrid>
      <w:tr>
        <w:trPr>
          <w:tblHeader w:val="true"/>
        </w:trPr>
        <w:tc>
          <w:tcPr>
            <w:tcW w:type="dxa" w:w="12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Schema</w:t>
            </w:r>
          </w:p>
        </w:tc>
        <w:tc>
          <w:tcPr>
            <w:tcW w:type="dxa" w:w="9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Tables</w:t>
            </w:r>
          </w:p>
        </w:tc>
        <w:tc>
          <w:tcPr>
            <w:tcW w:type="dxa" w:w="72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Design responsibility</w:t>
            </w:r>
          </w:p>
        </w:tc>
      </w:tr>
      <w:tr>
        <w:trPr>
          <w:cantSplit/>
        </w:trPr>
        <w:tc>
          <w:tcPr>
            <w:tcW w:type="dxa" w:w="1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iam</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4</w:t>
            </w:r>
          </w:p>
        </w:tc>
        <w:tc>
          <w:tcPr>
            <w:tcW w:type="dxa" w:w="72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Roles, staff users, optional customer identity, and reserved refresh-token persistence.</w:t>
            </w:r>
          </w:p>
        </w:tc>
      </w:tr>
      <w:tr>
        <w:trPr>
          <w:cantSplit/>
        </w:trPr>
        <w:tc>
          <w:tcPr>
            <w:tcW w:type="dxa" w:w="1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org</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1</w:t>
            </w:r>
          </w:p>
        </w:tc>
        <w:tc>
          <w:tcPr>
            <w:tcW w:type="dxa" w:w="72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Branch master, manager link, and branch-level operating/KDS configuration.</w:t>
            </w:r>
          </w:p>
        </w:tc>
      </w:tr>
      <w:tr>
        <w:trPr>
          <w:cantSplit/>
        </w:trPr>
        <w:tc>
          <w:tcPr>
            <w:tcW w:type="dxa" w:w="1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catalog</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12</w:t>
            </w:r>
          </w:p>
        </w:tc>
        <w:tc>
          <w:tcPr>
            <w:tcW w:type="dxa" w:w="72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Products, ingredients, recipes, modifiers, public home configuration, branch menu, and temporary menu-block workflow.</w:t>
            </w:r>
          </w:p>
        </w:tc>
      </w:tr>
      <w:tr>
        <w:trPr>
          <w:cantSplit/>
        </w:trPr>
        <w:tc>
          <w:tcPr>
            <w:tcW w:type="dxa" w:w="1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inventory</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11</w:t>
            </w:r>
          </w:p>
        </w:tc>
        <w:tc>
          <w:tcPr>
            <w:tcW w:type="dxa" w:w="72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Supplier/receipt flow, materialized balances, immutable stock ledger, prep, waste, audit, and review controls.</w:t>
            </w:r>
          </w:p>
        </w:tc>
      </w:tr>
      <w:tr>
        <w:trPr>
          <w:cantSplit/>
        </w:trPr>
        <w:tc>
          <w:tcPr>
            <w:tcW w:type="dxa" w:w="1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hr</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8</w:t>
            </w:r>
          </w:p>
        </w:tc>
        <w:tc>
          <w:tcPr>
            <w:tcW w:type="dxa" w:w="72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Shift planning, attendance approval, payroll, and shift-handover workflow.</w:t>
            </w:r>
          </w:p>
        </w:tc>
      </w:tr>
      <w:tr>
        <w:trPr>
          <w:cantSplit/>
        </w:trPr>
        <w:tc>
          <w:tcPr>
            <w:tcW w:type="dxa" w:w="1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sales</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5</w:t>
            </w:r>
          </w:p>
        </w:tc>
        <w:tc>
          <w:tcPr>
            <w:tcW w:type="dxa" w:w="72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Dine-in tables/sessions, unified orders, item status, and modifier snapshots.</w:t>
            </w:r>
          </w:p>
        </w:tc>
      </w:tr>
      <w:tr>
        <w:trPr>
          <w:cantSplit/>
        </w:trPr>
        <w:tc>
          <w:tcPr>
            <w:tcW w:type="dxa" w:w="1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payment</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5</w:t>
            </w:r>
          </w:p>
        </w:tc>
        <w:tc>
          <w:tcPr>
            <w:tcW w:type="dxa" w:w="72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Cashier shifts, vouchers, split/merge bill persistence, and voucher redemption.</w:t>
            </w:r>
          </w:p>
        </w:tc>
      </w:tr>
      <w:tr>
        <w:trPr>
          <w:cantSplit/>
        </w:trPr>
        <w:tc>
          <w:tcPr>
            <w:tcW w:type="dxa" w:w="1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ops</w:t>
            </w:r>
          </w:p>
        </w:tc>
        <w:tc>
          <w:tcPr>
            <w:tcW w:type="dxa" w:w="9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3</w:t>
            </w:r>
          </w:p>
        </w:tc>
        <w:tc>
          <w:tcPr>
            <w:tcW w:type="dxa" w:w="72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Transactional outbox, order-item action audit, and schema-version tracking.</w:t>
            </w:r>
          </w:p>
        </w:tc>
      </w:tr>
    </w:tbl>
    <w:p>
      <w:pPr>
        <w:spacing w:after="60"/>
      </w:pPr>
    </w:p>
    <w:p>
      <w:pPr>
        <w:keepNext/>
        <w:spacing w:before="40" w:after="0" w:line="240" w:lineRule="auto"/>
        <w:jc w:val="center"/>
      </w:pPr>
      <w:r>
        <w:drawing>
          <wp:inline xmlns:a="http://schemas.openxmlformats.org/drawingml/2006/main" xmlns:pic="http://schemas.openxmlformats.org/drawingml/2006/picture">
            <wp:extent cx="5806440" cy="2748382"/>
            <wp:docPr id="4" name="Picture 4"/>
            <wp:cNvGraphicFramePr>
              <a:graphicFrameLocks noChangeAspect="1"/>
            </wp:cNvGraphicFramePr>
            <a:graphic>
              <a:graphicData uri="http://schemas.openxmlformats.org/drawingml/2006/picture">
                <pic:pic>
                  <pic:nvPicPr>
                    <pic:cNvPr id="0" name="erd_catalog.png"/>
                    <pic:cNvPicPr/>
                  </pic:nvPicPr>
                  <pic:blipFill>
                    <a:blip r:embed="rId13"/>
                    <a:stretch>
                      <a:fillRect/>
                    </a:stretch>
                  </pic:blipFill>
                  <pic:spPr>
                    <a:xfrm>
                      <a:off x="0" y="0"/>
                      <a:ext cx="5806440" cy="2748382"/>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3. Principal IAM, organization, and catalog relationships.</w:t>
      </w:r>
    </w:p>
    <w:p>
      <w:pPr>
        <w:keepNext/>
        <w:spacing w:before="40" w:after="0" w:line="240" w:lineRule="auto"/>
        <w:jc w:val="center"/>
      </w:pPr>
      <w:r>
        <w:drawing>
          <wp:inline xmlns:a="http://schemas.openxmlformats.org/drawingml/2006/main" xmlns:pic="http://schemas.openxmlformats.org/drawingml/2006/picture">
            <wp:extent cx="5806440" cy="2748382"/>
            <wp:docPr id="5" name="Picture 5"/>
            <wp:cNvGraphicFramePr>
              <a:graphicFrameLocks noChangeAspect="1"/>
            </wp:cNvGraphicFramePr>
            <a:graphic>
              <a:graphicData uri="http://schemas.openxmlformats.org/drawingml/2006/picture">
                <pic:pic>
                  <pic:nvPicPr>
                    <pic:cNvPr id="0" name="erd_operations.png"/>
                    <pic:cNvPicPr/>
                  </pic:nvPicPr>
                  <pic:blipFill>
                    <a:blip r:embed="rId14"/>
                    <a:stretch>
                      <a:fillRect/>
                    </a:stretch>
                  </pic:blipFill>
                  <pic:spPr>
                    <a:xfrm>
                      <a:off x="0" y="0"/>
                      <a:ext cx="5806440" cy="2748382"/>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4. Principal inventory, receipt, prep/waste, and HR relationships.</w:t>
      </w:r>
    </w:p>
    <w:p>
      <w:pPr>
        <w:keepNext/>
        <w:spacing w:before="40" w:after="0" w:line="240" w:lineRule="auto"/>
        <w:jc w:val="center"/>
      </w:pPr>
      <w:r>
        <w:drawing>
          <wp:inline xmlns:a="http://schemas.openxmlformats.org/drawingml/2006/main" xmlns:pic="http://schemas.openxmlformats.org/drawingml/2006/picture">
            <wp:extent cx="5806440" cy="2748382"/>
            <wp:docPr id="6" name="Picture 6"/>
            <wp:cNvGraphicFramePr>
              <a:graphicFrameLocks noChangeAspect="1"/>
            </wp:cNvGraphicFramePr>
            <a:graphic>
              <a:graphicData uri="http://schemas.openxmlformats.org/drawingml/2006/picture">
                <pic:pic>
                  <pic:nvPicPr>
                    <pic:cNvPr id="0" name="erd_sales.png"/>
                    <pic:cNvPicPr/>
                  </pic:nvPicPr>
                  <pic:blipFill>
                    <a:blip r:embed="rId15"/>
                    <a:stretch>
                      <a:fillRect/>
                    </a:stretch>
                  </pic:blipFill>
                  <pic:spPr>
                    <a:xfrm>
                      <a:off x="0" y="0"/>
                      <a:ext cx="5806440" cy="2748382"/>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5. Principal sales, payment, and operational-event relationships.</w:t>
      </w:r>
    </w:p>
    <w:p>
      <w:pPr>
        <w:spacing w:before="40" w:after="120" w:line="264" w:lineRule="auto"/>
      </w:pPr>
      <w:r>
        <w:rPr>
          <w:rFonts w:ascii="Arial" w:hAnsi="Arial" w:eastAsia="Arial"/>
          <w:b/>
          <w:i/>
          <w:color w:val="2E75B6"/>
          <w:sz w:val="21"/>
        </w:rPr>
        <w:t xml:space="preserve">Ledger invariant: </w:t>
      </w:r>
      <w:r>
        <w:rPr>
          <w:rFonts w:ascii="Arial" w:hAnsi="Arial" w:eastAsia="Arial"/>
          <w:i/>
          <w:color w:val="2E75B6"/>
          <w:sz w:val="21"/>
        </w:rPr>
        <w:t>inventory.BranchInventory is a materialized balance, not a source of truth for mutation. InventoryService.applyTxn inserts the corresponding InventoryTransaction and updates BranchInventory in the same transaction. Reports and diagnostics can reconcile the balance to the ledger sum.</w:t>
      </w:r>
    </w:p>
    <w:p>
      <w:r>
        <w:br w:type="page"/>
      </w:r>
    </w:p>
    <w:p>
      <w:pPr>
        <w:pStyle w:val="Heading2"/>
      </w:pPr>
      <w:r>
        <w:t>2. State Transition Diagrams</w:t>
      </w:r>
    </w:p>
    <w:p>
      <w:pPr>
        <w:spacing w:before="0" w:after="120" w:line="264" w:lineRule="auto"/>
      </w:pPr>
      <w:r>
        <w:rPr>
          <w:rFonts w:ascii="Arial" w:hAnsi="Arial" w:eastAsia="Arial"/>
          <w:i w:val="0"/>
          <w:color w:val="000000"/>
          <w:sz w:val="22"/>
        </w:rPr>
        <w:t>State diagrams below define the stored lifecycles and the business actions that trigger transitions. Guards shown in the notes are server-side service/DAO guards; UI controls do not authorize a transition by themselves.</w:t>
      </w:r>
    </w:p>
    <w:p>
      <w:pPr>
        <w:pStyle w:val="Heading3"/>
      </w:pPr>
      <w:r>
        <w:t>2.1 Order Item / KDS Lifecycle</w:t>
      </w:r>
    </w:p>
    <w:p>
      <w:pPr>
        <w:keepNext/>
        <w:spacing w:before="40" w:after="0" w:line="240" w:lineRule="auto"/>
        <w:jc w:val="center"/>
      </w:pPr>
      <w:r>
        <w:drawing>
          <wp:inline xmlns:a="http://schemas.openxmlformats.org/drawingml/2006/main" xmlns:pic="http://schemas.openxmlformats.org/drawingml/2006/picture">
            <wp:extent cx="5806440" cy="2032254"/>
            <wp:docPr id="7" name="Picture 7"/>
            <wp:cNvGraphicFramePr>
              <a:graphicFrameLocks noChangeAspect="1"/>
            </wp:cNvGraphicFramePr>
            <a:graphic>
              <a:graphicData uri="http://schemas.openxmlformats.org/drawingml/2006/picture">
                <pic:pic>
                  <pic:nvPicPr>
                    <pic:cNvPr id="0" name="state_order_item.png"/>
                    <pic:cNvPicPr/>
                  </pic:nvPicPr>
                  <pic:blipFill>
                    <a:blip r:embed="rId16"/>
                    <a:stretch>
                      <a:fillRect/>
                    </a:stretch>
                  </pic:blipFill>
                  <pic:spPr>
                    <a:xfrm>
                      <a:off x="0" y="0"/>
                      <a:ext cx="5806440" cy="2032254"/>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6. sales.OrderItem operational state machine.</w:t>
      </w:r>
    </w:p>
    <w:tbl>
      <w:tblPr>
        <w:tblW w:type="dxa" w:w="9360"/>
        <w:jc w:val="left"/>
        <w:tblLayout w:type="fixed"/>
        <w:tblLook w:firstColumn="1" w:firstRow="1" w:lastColumn="0" w:lastRow="0" w:noHBand="0" w:noVBand="1" w:val="04A0"/>
        <w:tblInd w:type="dxa" w:w="120"/>
      </w:tblPr>
      <w:tblGrid>
        <w:gridCol w:w="1850"/>
        <w:gridCol w:w="2200"/>
        <w:gridCol w:w="5310"/>
      </w:tblGrid>
      <w:tr>
        <w:trPr>
          <w:tblHeader w:val="true"/>
        </w:trPr>
        <w:tc>
          <w:tcPr>
            <w:tcW w:type="dxa" w:w="18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Transition</w:t>
            </w:r>
          </w:p>
        </w:tc>
        <w:tc>
          <w:tcPr>
            <w:tcW w:type="dxa" w:w="22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Trigger</w:t>
            </w:r>
          </w:p>
        </w:tc>
        <w:tc>
          <w:tcPr>
            <w:tcW w:type="dxa" w:w="531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Guard / transaction effect</w:t>
            </w:r>
          </w:p>
        </w:tc>
      </w:tr>
      <w:tr>
        <w:trPr>
          <w:cantSplit/>
        </w:trPr>
        <w:tc>
          <w:tcPr>
            <w:tcW w:type="dxa" w:w="18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WAITING -&gt; MAKING</w:t>
            </w:r>
          </w:p>
        </w:tc>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Barista starts an item</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Item is claimed for the active barista/branch; StartedAt and action log are recorded.</w:t>
            </w:r>
          </w:p>
        </w:tc>
      </w:tr>
      <w:tr>
        <w:trPr>
          <w:cantSplit/>
        </w:trPr>
        <w:tc>
          <w:tcPr>
            <w:tcW w:type="dxa" w:w="18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MAKING -&gt; READY</w:t>
            </w:r>
          </w:p>
        </w:tc>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Barista marks preparation ready</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Product recipe plus modifier impacts are computed; ledger deductions and status/DoneAt update commit atomically.</w:t>
            </w:r>
          </w:p>
        </w:tc>
      </w:tr>
      <w:tr>
        <w:trPr>
          <w:cantSplit/>
        </w:trPr>
        <w:tc>
          <w:tcPr>
            <w:tcW w:type="dxa" w:w="18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READY -&gt; PICKED_UP -&gt; SERVED</w:t>
            </w:r>
          </w:p>
        </w:tc>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Pickup/handover then serve</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Pickup location/person/time and later served time are written for traceability.</w:t>
            </w:r>
          </w:p>
        </w:tc>
      </w:tr>
      <w:tr>
        <w:trPr>
          <w:cantSplit/>
        </w:trPr>
        <w:tc>
          <w:tcPr>
            <w:tcW w:type="dxa" w:w="18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WAITING &lt;-&gt; BLOCKED</w:t>
            </w:r>
          </w:p>
        </w:tc>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Issue/depleted ingredient and resolution</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Item is removed from active work until a permitted unblock action returns it to the queue.</w:t>
            </w:r>
          </w:p>
        </w:tc>
      </w:tr>
      <w:tr>
        <w:trPr>
          <w:cantSplit/>
        </w:trPr>
        <w:tc>
          <w:tcPr>
            <w:tcW w:type="dxa" w:w="18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WAITING -&gt; CANCELLED</w:t>
            </w:r>
          </w:p>
        </w:tc>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Cashier/customer cancellation</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Cancellation is guarded to prevent cancellation after preparation begins.</w:t>
            </w:r>
          </w:p>
        </w:tc>
      </w:tr>
      <w:tr>
        <w:trPr>
          <w:cantSplit/>
        </w:trPr>
        <w:tc>
          <w:tcPr>
            <w:tcW w:type="dxa" w:w="18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MAKING -&gt; REMAKE -&gt; WAITING</w:t>
            </w:r>
          </w:p>
        </w:tc>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Remake workflow</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A remake is audited and routed back to preparation under the waste/remake controls.</w:t>
            </w:r>
          </w:p>
        </w:tc>
      </w:tr>
    </w:tbl>
    <w:p>
      <w:pPr>
        <w:spacing w:after="60"/>
      </w:pPr>
    </w:p>
    <w:p>
      <w:pPr>
        <w:pStyle w:val="Heading3"/>
      </w:pPr>
      <w:r>
        <w:t>2.2 Payment and Session Lifecycle</w:t>
      </w:r>
    </w:p>
    <w:p>
      <w:pPr>
        <w:keepNext/>
        <w:spacing w:before="40" w:after="0" w:line="240" w:lineRule="auto"/>
        <w:jc w:val="center"/>
      </w:pPr>
      <w:r>
        <w:drawing>
          <wp:inline xmlns:a="http://schemas.openxmlformats.org/drawingml/2006/main" xmlns:pic="http://schemas.openxmlformats.org/drawingml/2006/picture">
            <wp:extent cx="5806440" cy="2032254"/>
            <wp:docPr id="8" name="Picture 8"/>
            <wp:cNvGraphicFramePr>
              <a:graphicFrameLocks noChangeAspect="1"/>
            </wp:cNvGraphicFramePr>
            <a:graphic>
              <a:graphicData uri="http://schemas.openxmlformats.org/drawingml/2006/picture">
                <pic:pic>
                  <pic:nvPicPr>
                    <pic:cNvPr id="0" name="state_payment.png"/>
                    <pic:cNvPicPr/>
                  </pic:nvPicPr>
                  <pic:blipFill>
                    <a:blip r:embed="rId17"/>
                    <a:stretch>
                      <a:fillRect/>
                    </a:stretch>
                  </pic:blipFill>
                  <pic:spPr>
                    <a:xfrm>
                      <a:off x="0" y="0"/>
                      <a:ext cx="5806440" cy="2032254"/>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7. payment.Bill and sales.TableSession lifecycle.</w:t>
      </w:r>
    </w:p>
    <w:p>
      <w:pPr>
        <w:pStyle w:val="Heading3"/>
      </w:pPr>
      <w:r>
        <w:t>2.3 Receipt and Ledger Lifecycle</w:t>
      </w:r>
    </w:p>
    <w:p>
      <w:pPr>
        <w:keepNext/>
        <w:spacing w:before="40" w:after="0" w:line="240" w:lineRule="auto"/>
        <w:jc w:val="center"/>
      </w:pPr>
      <w:r>
        <w:drawing>
          <wp:inline xmlns:a="http://schemas.openxmlformats.org/drawingml/2006/main" xmlns:pic="http://schemas.openxmlformats.org/drawingml/2006/picture">
            <wp:extent cx="5806440" cy="2032254"/>
            <wp:docPr id="9" name="Picture 9"/>
            <wp:cNvGraphicFramePr>
              <a:graphicFrameLocks noChangeAspect="1"/>
            </wp:cNvGraphicFramePr>
            <a:graphic>
              <a:graphicData uri="http://schemas.openxmlformats.org/drawingml/2006/picture">
                <pic:pic>
                  <pic:nvPicPr>
                    <pic:cNvPr id="0" name="state_inventory.png"/>
                    <pic:cNvPicPr/>
                  </pic:nvPicPr>
                  <pic:blipFill>
                    <a:blip r:embed="rId18"/>
                    <a:stretch>
                      <a:fillRect/>
                    </a:stretch>
                  </pic:blipFill>
                  <pic:spPr>
                    <a:xfrm>
                      <a:off x="0" y="0"/>
                      <a:ext cx="5806440" cy="2032254"/>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8. inventory.StockReceipt confirmation flow.</w:t>
      </w:r>
    </w:p>
    <w:p>
      <w:r>
        <w:br w:type="page"/>
      </w:r>
    </w:p>
    <w:p>
      <w:pPr>
        <w:pStyle w:val="Heading2"/>
      </w:pPr>
      <w:r>
        <w:t>3. Detailed Design</w:t>
      </w:r>
    </w:p>
    <w:p>
      <w:pPr>
        <w:spacing w:before="0" w:after="120" w:line="264" w:lineRule="auto"/>
      </w:pPr>
      <w:r>
        <w:rPr>
          <w:rFonts w:ascii="Arial" w:hAnsi="Arial" w:eastAsia="Arial"/>
          <w:i w:val="0"/>
          <w:color w:val="000000"/>
          <w:sz w:val="22"/>
        </w:rPr>
        <w:t>This section traces the main end-to-end business flows through concrete controller, service, DAO, and database responsibilities. It covers the operational workflows that carry the highest consistency risk: order creation, modifier-aware deduction, checkout/payment, inventory receipt, and scoped staff access.</w:t>
      </w:r>
    </w:p>
    <w:p>
      <w:pPr>
        <w:pStyle w:val="Heading3"/>
      </w:pPr>
      <w:r>
        <w:t>3.1 Order-to-Fulfillment Design</w:t>
      </w:r>
    </w:p>
    <w:p>
      <w:pPr>
        <w:pStyle w:val="Heading4"/>
      </w:pPr>
      <w:r>
        <w:t>3.1.1 Class Diagram</w:t>
      </w:r>
    </w:p>
    <w:p>
      <w:pPr>
        <w:keepNext/>
        <w:spacing w:before="40" w:after="0" w:line="240" w:lineRule="auto"/>
        <w:jc w:val="center"/>
      </w:pPr>
      <w:r>
        <w:drawing>
          <wp:inline xmlns:a="http://schemas.openxmlformats.org/drawingml/2006/main" xmlns:pic="http://schemas.openxmlformats.org/drawingml/2006/picture">
            <wp:extent cx="5806440" cy="3193542"/>
            <wp:docPr id="10" name="Picture 10"/>
            <wp:cNvGraphicFramePr>
              <a:graphicFrameLocks noChangeAspect="1"/>
            </wp:cNvGraphicFramePr>
            <a:graphic>
              <a:graphicData uri="http://schemas.openxmlformats.org/drawingml/2006/picture">
                <pic:pic>
                  <pic:nvPicPr>
                    <pic:cNvPr id="0" name="class_order_fulfillment.png"/>
                    <pic:cNvPicPr/>
                  </pic:nvPicPr>
                  <pic:blipFill>
                    <a:blip r:embed="rId19"/>
                    <a:stretch>
                      <a:fillRect/>
                    </a:stretch>
                  </pic:blipFill>
                  <pic:spPr>
                    <a:xfrm>
                      <a:off x="0" y="0"/>
                      <a:ext cx="5806440" cy="3193542"/>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9. Core classes for order fulfillment, inventory, and payment collaboration.</w:t>
      </w:r>
    </w:p>
    <w:p>
      <w:pPr>
        <w:spacing w:before="0" w:after="120" w:line="264" w:lineRule="auto"/>
      </w:pPr>
      <w:r>
        <w:rPr>
          <w:rFonts w:ascii="Arial" w:hAnsi="Arial" w:eastAsia="Arial"/>
          <w:i w:val="0"/>
          <w:color w:val="000000"/>
          <w:sz w:val="22"/>
        </w:rPr>
        <w:t>OrderService is the shared backbone for cashier POS and customer QR orders. It creates an Order, OrderItem rows, and modifier snapshots in one transaction, then publishes order.created. Barista operations call the same service state transitions. InventoryService receives the completed item only at READY, reads ProductRecipe and ModifierIngredientImpact, and applies the resulting ledger entries without any direct stock update in controller or DAO code.</w:t>
      </w:r>
    </w:p>
    <w:p>
      <w:pPr>
        <w:pStyle w:val="Heading4"/>
      </w:pPr>
      <w:r>
        <w:t>3.1.2 Sequence Diagram - POS/QR Order Placement</w:t>
      </w:r>
    </w:p>
    <w:p>
      <w:pPr>
        <w:keepNext/>
        <w:spacing w:before="40" w:after="0" w:line="240" w:lineRule="auto"/>
        <w:jc w:val="center"/>
      </w:pPr>
      <w:r>
        <w:drawing>
          <wp:inline xmlns:a="http://schemas.openxmlformats.org/drawingml/2006/main" xmlns:pic="http://schemas.openxmlformats.org/drawingml/2006/picture">
            <wp:extent cx="5577840" cy="4736262"/>
            <wp:docPr id="11" name="Picture 11"/>
            <wp:cNvGraphicFramePr>
              <a:graphicFrameLocks noChangeAspect="1"/>
            </wp:cNvGraphicFramePr>
            <a:graphic>
              <a:graphicData uri="http://schemas.openxmlformats.org/drawingml/2006/picture">
                <pic:pic>
                  <pic:nvPicPr>
                    <pic:cNvPr id="0" name="template_sequence_order.png"/>
                    <pic:cNvPicPr/>
                  </pic:nvPicPr>
                  <pic:blipFill>
                    <a:blip r:embed="rId20"/>
                    <a:stretch>
                      <a:fillRect/>
                    </a:stretch>
                  </pic:blipFill>
                  <pic:spPr>
                    <a:xfrm>
                      <a:off x="0" y="0"/>
                      <a:ext cx="5577840" cy="4736262"/>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10. Project flow: QR scan and order placement.</w:t>
      </w:r>
    </w:p>
    <w:tbl>
      <w:tblPr>
        <w:tblW w:type="dxa" w:w="9360"/>
        <w:jc w:val="left"/>
        <w:tblLayout w:type="fixed"/>
        <w:tblLook w:firstColumn="1" w:firstRow="1" w:lastColumn="0" w:lastRow="0" w:noHBand="0" w:noVBand="1" w:val="04A0"/>
        <w:tblInd w:type="dxa" w:w="120"/>
      </w:tblPr>
      <w:tblGrid>
        <w:gridCol w:w="550"/>
        <w:gridCol w:w="3000"/>
        <w:gridCol w:w="5810"/>
      </w:tblGrid>
      <w:tr>
        <w:trPr>
          <w:tblHeader w:val="true"/>
        </w:trPr>
        <w:tc>
          <w:tcPr>
            <w:tcW w:type="dxa" w:w="5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Step</w:t>
            </w:r>
          </w:p>
        </w:tc>
        <w:tc>
          <w:tcPr>
            <w:tcW w:type="dxa" w:w="30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Primary implementation</w:t>
            </w:r>
          </w:p>
        </w:tc>
        <w:tc>
          <w:tcPr>
            <w:tcW w:type="dxa" w:w="581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Control point</w:t>
            </w:r>
          </w:p>
        </w:tc>
      </w:tr>
      <w:tr>
        <w:trPr>
          <w:cantSplit/>
        </w:trPr>
        <w:tc>
          <w:tcPr>
            <w:tcW w:type="dxa" w:w="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1</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PosServlet or QrMenuServlet</w:t>
            </w:r>
          </w:p>
        </w:tc>
        <w:tc>
          <w:tcPr>
            <w:tcW w:type="dxa" w:w="58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Validates CSRF and parses selected product IDs, quantities, notes, and modifier options.</w:t>
            </w:r>
          </w:p>
        </w:tc>
      </w:tr>
      <w:tr>
        <w:trPr>
          <w:cantSplit/>
        </w:trPr>
        <w:tc>
          <w:tcPr>
            <w:tcW w:type="dxa" w:w="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2</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OrderService.placeOrder</w:t>
            </w:r>
          </w:p>
        </w:tc>
        <w:tc>
          <w:tcPr>
            <w:tcW w:type="dxa" w:w="58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Validates source/order type and menu availability for the current branch; prices are frozen from branch menu plus selected modifier deltas.</w:t>
            </w:r>
          </w:p>
        </w:tc>
      </w:tr>
      <w:tr>
        <w:trPr>
          <w:cantSplit/>
        </w:trPr>
        <w:tc>
          <w:tcPr>
            <w:tcW w:type="dxa" w:w="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3</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OrderDao / OrderItemDao / OrderItemModifierDao</w:t>
            </w:r>
          </w:p>
        </w:tc>
        <w:tc>
          <w:tcPr>
            <w:tcW w:type="dxa" w:w="58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Creates header, line items, and modifier snapshots inside one transaction.</w:t>
            </w:r>
          </w:p>
        </w:tc>
      </w:tr>
      <w:tr>
        <w:trPr>
          <w:cantSplit/>
        </w:trPr>
        <w:tc>
          <w:tcPr>
            <w:tcW w:type="dxa" w:w="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4</w:t>
            </w:r>
          </w:p>
        </w:tc>
        <w:tc>
          <w:tcPr>
            <w:tcW w:type="dxa" w:w="30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EventPublisher</w:t>
            </w:r>
          </w:p>
        </w:tc>
        <w:tc>
          <w:tcPr>
            <w:tcW w:type="dxa" w:w="58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Records order.created in ops.OutboxEvent before transaction completion.</w:t>
            </w:r>
          </w:p>
        </w:tc>
      </w:tr>
    </w:tbl>
    <w:p>
      <w:pPr>
        <w:spacing w:after="60"/>
      </w:pPr>
    </w:p>
    <w:p>
      <w:r>
        <w:br w:type="page"/>
      </w:r>
    </w:p>
    <w:p>
      <w:pPr>
        <w:pStyle w:val="Heading4"/>
      </w:pPr>
      <w:r>
        <w:t>3.1.3 Sequence Diagram - KDS Preparation and Handover</w:t>
      </w:r>
    </w:p>
    <w:p>
      <w:pPr>
        <w:keepNext/>
        <w:spacing w:before="40" w:after="0" w:line="240" w:lineRule="auto"/>
        <w:jc w:val="center"/>
      </w:pPr>
      <w:r>
        <w:drawing>
          <wp:inline xmlns:a="http://schemas.openxmlformats.org/drawingml/2006/main" xmlns:pic="http://schemas.openxmlformats.org/drawingml/2006/picture">
            <wp:extent cx="3154680" cy="5900260"/>
            <wp:docPr id="12" name="Picture 12"/>
            <wp:cNvGraphicFramePr>
              <a:graphicFrameLocks noChangeAspect="1"/>
            </wp:cNvGraphicFramePr>
            <a:graphic>
              <a:graphicData uri="http://schemas.openxmlformats.org/drawingml/2006/picture">
                <pic:pic>
                  <pic:nvPicPr>
                    <pic:cNvPr id="0" name="template_sequence_kds.png"/>
                    <pic:cNvPicPr/>
                  </pic:nvPicPr>
                  <pic:blipFill>
                    <a:blip r:embed="rId21"/>
                    <a:stretch>
                      <a:fillRect/>
                    </a:stretch>
                  </pic:blipFill>
                  <pic:spPr>
                    <a:xfrm>
                      <a:off x="0" y="0"/>
                      <a:ext cx="3154680" cy="5900260"/>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11. Project flow: beverage preparation and handover.</w:t>
      </w:r>
    </w:p>
    <w:p>
      <w:pPr>
        <w:spacing w:before="40" w:after="120" w:line="264" w:lineRule="auto"/>
      </w:pPr>
      <w:r>
        <w:rPr>
          <w:rFonts w:ascii="Arial" w:hAnsi="Arial" w:eastAsia="Arial"/>
          <w:b/>
          <w:i/>
          <w:color w:val="2E75B6"/>
          <w:sz w:val="21"/>
        </w:rPr>
        <w:t xml:space="preserve">PREPPED rule: </w:t>
      </w:r>
      <w:r>
        <w:rPr>
          <w:rFonts w:ascii="Arial" w:hAnsi="Arial" w:eastAsia="Arial"/>
          <w:i/>
          <w:color w:val="2E75B6"/>
          <w:sz w:val="21"/>
        </w:rPr>
        <w:t>For a product whose recipe consumes a PREPPED ingredient, the READY transition deducts that PREPPED inventory only. Raw ingredients were consumed earlier when PrepService/InventoryService created the PrepBatch, so the system does not double-deduct raw stock.</w:t>
      </w:r>
    </w:p>
    <w:p>
      <w:r>
        <w:br w:type="page"/>
      </w:r>
    </w:p>
    <w:p>
      <w:pPr>
        <w:pStyle w:val="Heading3"/>
      </w:pPr>
      <w:r>
        <w:t>3.2 Checkout, Voucher, and Payment</w:t>
      </w:r>
    </w:p>
    <w:p>
      <w:pPr>
        <w:pStyle w:val="Heading4"/>
      </w:pPr>
      <w:r>
        <w:t>3.2.1 Detailed Flow</w:t>
      </w:r>
    </w:p>
    <w:p>
      <w:pPr>
        <w:keepNext/>
        <w:spacing w:before="40" w:after="0" w:line="240" w:lineRule="auto"/>
        <w:jc w:val="center"/>
      </w:pPr>
      <w:r>
        <w:drawing>
          <wp:inline xmlns:a="http://schemas.openxmlformats.org/drawingml/2006/main" xmlns:pic="http://schemas.openxmlformats.org/drawingml/2006/picture">
            <wp:extent cx="3154680" cy="5976674"/>
            <wp:docPr id="13" name="Picture 13"/>
            <wp:cNvGraphicFramePr>
              <a:graphicFrameLocks noChangeAspect="1"/>
            </wp:cNvGraphicFramePr>
            <a:graphic>
              <a:graphicData uri="http://schemas.openxmlformats.org/drawingml/2006/picture">
                <pic:pic>
                  <pic:nvPicPr>
                    <pic:cNvPr id="0" name="template_sequence_payment.png"/>
                    <pic:cNvPicPr/>
                  </pic:nvPicPr>
                  <pic:blipFill>
                    <a:blip r:embed="rId22"/>
                    <a:stretch>
                      <a:fillRect/>
                    </a:stretch>
                  </pic:blipFill>
                  <pic:spPr>
                    <a:xfrm>
                      <a:off x="0" y="0"/>
                      <a:ext cx="3154680" cy="5976674"/>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12. Project flow: checkout and voucher processing.</w:t>
      </w:r>
    </w:p>
    <w:tbl>
      <w:tblPr>
        <w:tblW w:type="dxa" w:w="9360"/>
        <w:jc w:val="left"/>
        <w:tblLayout w:type="fixed"/>
        <w:tblLook w:firstColumn="1" w:firstRow="1" w:lastColumn="0" w:lastRow="0" w:noHBand="0" w:noVBand="1" w:val="04A0"/>
        <w:tblInd w:type="dxa" w:w="120"/>
      </w:tblPr>
      <w:tblGrid>
        <w:gridCol w:w="1600"/>
        <w:gridCol w:w="3550"/>
        <w:gridCol w:w="4210"/>
      </w:tblGrid>
      <w:tr>
        <w:trPr>
          <w:tblHeader w:val="true"/>
        </w:trPr>
        <w:tc>
          <w:tcPr>
            <w:tcW w:type="dxa" w:w="16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Operation</w:t>
            </w:r>
          </w:p>
        </w:tc>
        <w:tc>
          <w:tcPr>
            <w:tcW w:type="dxa" w:w="35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Service responsibility</w:t>
            </w:r>
          </w:p>
        </w:tc>
        <w:tc>
          <w:tcPr>
            <w:tcW w:type="dxa" w:w="421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Consistency rule</w:t>
            </w:r>
          </w:p>
        </w:tc>
      </w:tr>
      <w:tr>
        <w:trPr>
          <w:cantSplit/>
        </w:trPr>
        <w:tc>
          <w:tcPr>
            <w:tcW w:type="dxa" w:w="16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Build bill</w:t>
            </w:r>
          </w:p>
        </w:tc>
        <w:tc>
          <w:tcPr>
            <w:tcW w:type="dxa" w:w="3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BillingService.buildSessionBill</w:t>
            </w:r>
          </w:p>
        </w:tc>
        <w:tc>
          <w:tcPr>
            <w:tcW w:type="dxa" w:w="42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Moves eligible unbilled OrderItem rows into one or more UNPAID bills for the table session.</w:t>
            </w:r>
          </w:p>
        </w:tc>
      </w:tr>
      <w:tr>
        <w:trPr>
          <w:cantSplit/>
        </w:trPr>
        <w:tc>
          <w:tcPr>
            <w:tcW w:type="dxa" w:w="16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Split / merge</w:t>
            </w:r>
          </w:p>
        </w:tc>
        <w:tc>
          <w:tcPr>
            <w:tcW w:type="dxa" w:w="3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BillingService.splitItems / mergeBills</w:t>
            </w:r>
          </w:p>
        </w:tc>
        <w:tc>
          <w:tcPr>
            <w:tcW w:type="dxa" w:w="42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Each OrderItem remains associated with at most one BillItem through the unique order-item constraint.</w:t>
            </w:r>
          </w:p>
        </w:tc>
      </w:tr>
      <w:tr>
        <w:trPr>
          <w:cantSplit/>
        </w:trPr>
        <w:tc>
          <w:tcPr>
            <w:tcW w:type="dxa" w:w="16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Voucher</w:t>
            </w:r>
          </w:p>
        </w:tc>
        <w:tc>
          <w:tcPr>
            <w:tcW w:type="dxa" w:w="3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VoucherService.validateVoucher + BillCalculator</w:t>
            </w:r>
          </w:p>
        </w:tc>
        <w:tc>
          <w:tcPr>
            <w:tcW w:type="dxa" w:w="42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Checks active date/scope/limit/minimum then clamps discount and calculates VAT from the net amount.</w:t>
            </w:r>
          </w:p>
        </w:tc>
      </w:tr>
      <w:tr>
        <w:trPr>
          <w:cantSplit/>
        </w:trPr>
        <w:tc>
          <w:tcPr>
            <w:tcW w:type="dxa" w:w="16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Pay</w:t>
            </w:r>
          </w:p>
        </w:tc>
        <w:tc>
          <w:tcPr>
            <w:tcW w:type="dxa" w:w="3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BillingService.payBill</w:t>
            </w:r>
          </w:p>
        </w:tc>
        <w:tc>
          <w:tcPr>
            <w:tcW w:type="dxa" w:w="42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Uses a WHERE Status='UNPAID' guard to prevent duplicate payment; records voucher redemption and payment.completed atomically.</w:t>
            </w:r>
          </w:p>
        </w:tc>
      </w:tr>
      <w:tr>
        <w:trPr>
          <w:cantSplit/>
        </w:trPr>
        <w:tc>
          <w:tcPr>
            <w:tcW w:type="dxa" w:w="16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Close session</w:t>
            </w:r>
          </w:p>
        </w:tc>
        <w:tc>
          <w:tcPr>
            <w:tcW w:type="dxa" w:w="3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TableSessionService</w:t>
            </w:r>
          </w:p>
        </w:tc>
        <w:tc>
          <w:tcPr>
            <w:tcW w:type="dxa" w:w="42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The session/table closes only when no unresolved unpaid bills remain.</w:t>
            </w:r>
          </w:p>
        </w:tc>
      </w:tr>
    </w:tbl>
    <w:p>
      <w:pPr>
        <w:spacing w:after="60"/>
      </w:pPr>
    </w:p>
    <w:p>
      <w:pPr>
        <w:pStyle w:val="Heading3"/>
      </w:pPr>
      <w:r>
        <w:t>3.3 Inventory, Prep, and Waste</w:t>
      </w:r>
    </w:p>
    <w:p>
      <w:pPr>
        <w:pStyle w:val="Heading4"/>
      </w:pPr>
      <w:r>
        <w:t>3.3.1 Receipt Confirmation</w:t>
      </w:r>
    </w:p>
    <w:p>
      <w:pPr>
        <w:keepNext/>
        <w:spacing w:before="40" w:after="0" w:line="240" w:lineRule="auto"/>
        <w:jc w:val="center"/>
      </w:pPr>
      <w:r>
        <w:drawing>
          <wp:inline xmlns:a="http://schemas.openxmlformats.org/drawingml/2006/main" xmlns:pic="http://schemas.openxmlformats.org/drawingml/2006/picture">
            <wp:extent cx="5806440" cy="2983865"/>
            <wp:docPr id="14" name="Picture 14"/>
            <wp:cNvGraphicFramePr>
              <a:graphicFrameLocks noChangeAspect="1"/>
            </wp:cNvGraphicFramePr>
            <a:graphic>
              <a:graphicData uri="http://schemas.openxmlformats.org/drawingml/2006/picture">
                <pic:pic>
                  <pic:nvPicPr>
                    <pic:cNvPr id="0" name="sequence_inventory.png"/>
                    <pic:cNvPicPr/>
                  </pic:nvPicPr>
                  <pic:blipFill>
                    <a:blip r:embed="rId23"/>
                    <a:stretch>
                      <a:fillRect/>
                    </a:stretch>
                  </pic:blipFill>
                  <pic:spPr>
                    <a:xfrm>
                      <a:off x="0" y="0"/>
                      <a:ext cx="5806440" cy="2983865"/>
                    </a:xfrm>
                    <a:prstGeom prst="rect"/>
                  </pic:spPr>
                </pic:pic>
              </a:graphicData>
            </a:graphic>
          </wp:inline>
        </w:drawing>
      </w:r>
    </w:p>
    <w:p>
      <w:pPr>
        <w:pStyle w:val="Caption"/>
        <w:spacing w:before="60" w:after="200" w:line="240" w:lineRule="auto"/>
        <w:jc w:val="center"/>
      </w:pPr>
      <w:r>
        <w:rPr>
          <w:rFonts w:ascii="Arial" w:hAnsi="Arial" w:eastAsia="Arial"/>
          <w:i/>
          <w:color w:val="404040"/>
          <w:sz w:val="18"/>
        </w:rPr>
        <w:t>Figure 13. Stock receipt confirmation creates ledger entries and updates the materialized balance atomically.</w:t>
      </w:r>
    </w:p>
    <w:p>
      <w:pPr>
        <w:spacing w:before="0" w:after="120" w:line="264" w:lineRule="auto"/>
      </w:pPr>
      <w:r>
        <w:rPr>
          <w:rFonts w:ascii="Arial" w:hAnsi="Arial" w:eastAsia="Arial"/>
          <w:i w:val="0"/>
          <w:color w:val="000000"/>
          <w:sz w:val="22"/>
        </w:rPr>
        <w:t>InventoryService applies the same ledger pattern for stock receipt, adjustment, order deduction, prep out/prep in, and waste. Stock receipt confirmation is one transaction: the DRAFT receipt becomes CONFIRMED only when every detail has generated its RECEIPT ledger effect. Waste and remake operations additionally create event-level and audit records so managers can review negative or late corrections.</w:t>
      </w:r>
    </w:p>
    <w:p>
      <w:pPr>
        <w:pStyle w:val="Heading4"/>
      </w:pPr>
      <w:r>
        <w:t>3.3.2 Prep and Waste Controls</w:t>
      </w:r>
    </w:p>
    <w:tbl>
      <w:tblPr>
        <w:tblW w:type="dxa" w:w="9360"/>
        <w:jc w:val="left"/>
        <w:tblLayout w:type="fixed"/>
        <w:tblLook w:firstColumn="1" w:firstRow="1" w:lastColumn="0" w:lastRow="0" w:noHBand="0" w:noVBand="1" w:val="04A0"/>
        <w:tblInd w:type="dxa" w:w="120"/>
      </w:tblPr>
      <w:tblGrid>
        <w:gridCol w:w="1700"/>
        <w:gridCol w:w="4100"/>
        <w:gridCol w:w="3560"/>
      </w:tblGrid>
      <w:tr>
        <w:trPr>
          <w:tblHeader w:val="true"/>
        </w:trPr>
        <w:tc>
          <w:tcPr>
            <w:tcW w:type="dxa" w:w="17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Flow</w:t>
            </w:r>
          </w:p>
        </w:tc>
        <w:tc>
          <w:tcPr>
            <w:tcW w:type="dxa" w:w="41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Database effect</w:t>
            </w:r>
          </w:p>
        </w:tc>
        <w:tc>
          <w:tcPr>
            <w:tcW w:type="dxa" w:w="35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Operational safeguard</w:t>
            </w:r>
          </w:p>
        </w:tc>
      </w:tr>
      <w:tr>
        <w:trPr>
          <w:cantSplit/>
        </w:trPr>
        <w:tc>
          <w:tcPr>
            <w:tcW w:type="dxa" w:w="17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Prep batch</w:t>
            </w:r>
          </w:p>
        </w:tc>
        <w:tc>
          <w:tcPr>
            <w:tcW w:type="dxa" w:w="4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PREP_OUT rows for RAW inputs; PREP_IN row for the PREPPED output</w:t>
            </w:r>
          </w:p>
        </w:tc>
        <w:tc>
          <w:tcPr>
            <w:tcW w:type="dxa" w:w="35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Yield-based consumption uses PrepRecipe and preserves the RAW/PREPPED boundary.</w:t>
            </w:r>
          </w:p>
        </w:tc>
      </w:tr>
      <w:tr>
        <w:trPr>
          <w:cantSplit/>
        </w:trPr>
        <w:tc>
          <w:tcPr>
            <w:tcW w:type="dxa" w:w="17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Manual ingredient waste</w:t>
            </w:r>
          </w:p>
        </w:tc>
        <w:tc>
          <w:tcPr>
            <w:tcW w:type="dxa" w:w="4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WasteEvent, WasteLog, WASTE ledger rows, WasteAuditLog</w:t>
            </w:r>
          </w:p>
        </w:tc>
        <w:tc>
          <w:tcPr>
            <w:tcW w:type="dxa" w:w="35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CSRF/request validation, reason/cost capture, and later void/review traceability.</w:t>
            </w:r>
          </w:p>
        </w:tc>
      </w:tr>
      <w:tr>
        <w:trPr>
          <w:cantSplit/>
        </w:trPr>
        <w:tc>
          <w:tcPr>
            <w:tcW w:type="dxa" w:w="17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Product remake</w:t>
            </w:r>
          </w:p>
        </w:tc>
        <w:tc>
          <w:tcPr>
            <w:tcW w:type="dxa" w:w="4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REMAKE WasteEvent plus action history and item workflow</w:t>
            </w:r>
          </w:p>
        </w:tc>
        <w:tc>
          <w:tcPr>
            <w:tcW w:type="dxa" w:w="35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Links the remake to its order item, cause, user, branch, and inventory reservation controls.</w:t>
            </w:r>
          </w:p>
        </w:tc>
      </w:tr>
      <w:tr>
        <w:trPr>
          <w:cantSplit/>
        </w:trPr>
        <w:tc>
          <w:tcPr>
            <w:tcW w:type="dxa" w:w="17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Physical reconciliation</w:t>
            </w:r>
          </w:p>
        </w:tc>
        <w:tc>
          <w:tcPr>
            <w:tcW w:type="dxa" w:w="4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StockAdjustment and ADJUST ledger row</w:t>
            </w:r>
          </w:p>
        </w:tc>
        <w:tc>
          <w:tcPr>
            <w:tcW w:type="dxa" w:w="35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Manager records only the delta between counted stock and on-hand balance.</w:t>
            </w:r>
          </w:p>
        </w:tc>
      </w:tr>
    </w:tbl>
    <w:p>
      <w:pPr>
        <w:spacing w:after="60"/>
      </w:pPr>
    </w:p>
    <w:p>
      <w:pPr>
        <w:pStyle w:val="Heading3"/>
      </w:pPr>
      <w:r>
        <w:t>3.4 Authentication, Branch Scope, and HR</w:t>
      </w:r>
    </w:p>
    <w:p>
      <w:pPr>
        <w:pStyle w:val="Heading4"/>
      </w:pPr>
      <w:r>
        <w:t>3.4.1 Authentication and Authorization Flow</w:t>
      </w:r>
    </w:p>
    <w:p>
      <w:pPr>
        <w:spacing w:before="0" w:after="120" w:line="264" w:lineRule="auto"/>
      </w:pPr>
      <w:r>
        <w:rPr>
          <w:rFonts w:ascii="Arial" w:hAnsi="Arial" w:eastAsia="Arial"/>
          <w:i w:val="0"/>
          <w:color w:val="000000"/>
          <w:sz w:val="22"/>
        </w:rPr>
        <w:t>AuthServlet authenticates a staff account through AuthService using BCrypt. On successful login it invalidates the previous HTTP session to limit session fixation, establishes the current-user session attribute, and redirects to the role-aware /dashboard router. AuthFilter permits public assets, health, home, and QR routes while redirecting protected traffic to login. RbacFilter enforces role-prefix access; BranchScopeFilter makes the current branch available to controllers/services; CashierDutyGuardFilter blocks cashier write operations until a duty/shift is active.</w:t>
      </w:r>
    </w:p>
    <w:tbl>
      <w:tblPr>
        <w:tblW w:type="dxa" w:w="9360"/>
        <w:jc w:val="left"/>
        <w:tblLayout w:type="fixed"/>
        <w:tblLook w:firstColumn="1" w:firstRow="1" w:lastColumn="0" w:lastRow="0" w:noHBand="0" w:noVBand="1" w:val="04A0"/>
        <w:tblInd w:type="dxa" w:w="120"/>
      </w:tblPr>
      <w:tblGrid>
        <w:gridCol w:w="1550"/>
        <w:gridCol w:w="2500"/>
        <w:gridCol w:w="5310"/>
      </w:tblGrid>
      <w:tr>
        <w:trPr>
          <w:tblHeader w:val="true"/>
        </w:trPr>
        <w:tc>
          <w:tcPr>
            <w:tcW w:type="dxa" w:w="15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6"/>
              </w:rPr>
              <w:t>Role</w:t>
            </w:r>
          </w:p>
        </w:tc>
        <w:tc>
          <w:tcPr>
            <w:tcW w:type="dxa" w:w="25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6"/>
              </w:rPr>
              <w:t>Primary portal</w:t>
            </w:r>
          </w:p>
        </w:tc>
        <w:tc>
          <w:tcPr>
            <w:tcW w:type="dxa" w:w="531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6"/>
              </w:rPr>
              <w:t>Scoped responsibilities</w:t>
            </w:r>
          </w:p>
        </w:tc>
      </w:tr>
      <w:tr>
        <w:trPr>
          <w:cantSplit/>
        </w:trPr>
        <w:tc>
          <w:tcPr>
            <w:tcW w:type="dxa" w:w="1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ADMIN</w:t>
            </w:r>
          </w:p>
        </w:tc>
        <w:tc>
          <w:tcPr>
            <w:tcW w:type="dxa" w:w="25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/admin/* and /dashboard</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Cross-branch master data, catalog/recipe/modifier/voucher/branch settings, users, home content, and chain reporting/export.</w:t>
            </w:r>
          </w:p>
        </w:tc>
      </w:tr>
      <w:tr>
        <w:trPr>
          <w:cantSplit/>
        </w:trPr>
        <w:tc>
          <w:tcPr>
            <w:tcW w:type="dxa" w:w="1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BRANCH_MANAGER</w:t>
            </w:r>
          </w:p>
        </w:tc>
        <w:tc>
          <w:tcPr>
            <w:tcW w:type="dxa" w:w="25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/manager/*</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Branch stock, receipts, reconciliation, suppliers, local menu settings, shifts, attendance, payroll, menu-block review, and waste reporting.</w:t>
            </w:r>
          </w:p>
        </w:tc>
      </w:tr>
      <w:tr>
        <w:trPr>
          <w:cantSplit/>
        </w:trPr>
        <w:tc>
          <w:tcPr>
            <w:tcW w:type="dxa" w:w="1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CASHIER</w:t>
            </w:r>
          </w:p>
        </w:tc>
        <w:tc>
          <w:tcPr>
            <w:tcW w:type="dxa" w:w="25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/cashier/*</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Duty/shift, floor sessions, POS, incoming QR order handling, checkout, bill history, void/refund within role controls.</w:t>
            </w:r>
          </w:p>
        </w:tc>
      </w:tr>
      <w:tr>
        <w:trPr>
          <w:cantSplit/>
        </w:trPr>
        <w:tc>
          <w:tcPr>
            <w:tcW w:type="dxa" w:w="1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BARISTA</w:t>
            </w:r>
          </w:p>
        </w:tc>
        <w:tc>
          <w:tcPr>
            <w:tcW w:type="dxa" w:w="25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/barista/*</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KDS queue, pickup, 86 requests, prep, waste/remake, recipe lookup, and handover/clock flow.</w:t>
            </w:r>
          </w:p>
        </w:tc>
      </w:tr>
      <w:tr>
        <w:trPr>
          <w:cantSplit/>
        </w:trPr>
        <w:tc>
          <w:tcPr>
            <w:tcW w:type="dxa" w:w="15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ANONYMOUS CUSTOMER</w:t>
            </w:r>
          </w:p>
        </w:tc>
        <w:tc>
          <w:tcPr>
            <w:tcW w:type="dxa" w:w="25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/qr/* and /home</w:t>
            </w:r>
          </w:p>
        </w:tc>
        <w:tc>
          <w:tcPr>
            <w:tcW w:type="dxa" w:w="531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6"/>
              </w:rPr>
              <w:t>Scan table QR, browse branch menu, place QR order, track items, request staff/bill, and cancel only when server guard allows.</w:t>
            </w:r>
          </w:p>
        </w:tc>
      </w:tr>
    </w:tbl>
    <w:p>
      <w:pPr>
        <w:spacing w:after="60"/>
      </w:pPr>
    </w:p>
    <w:p>
      <w:pPr>
        <w:pStyle w:val="Heading4"/>
      </w:pPr>
      <w:r>
        <w:t>3.4.2 HR and Handover Flow</w:t>
      </w:r>
    </w:p>
    <w:p>
      <w:pPr>
        <w:spacing w:before="0" w:after="120" w:line="264" w:lineRule="auto"/>
      </w:pPr>
      <w:r>
        <w:rPr>
          <w:rFonts w:ascii="Arial" w:hAnsi="Arial" w:eastAsia="Arial"/>
          <w:i w:val="0"/>
          <w:color w:val="000000"/>
          <w:sz w:val="22"/>
        </w:rPr>
        <w:t>ShiftService prevents overlapping staff assignments with the pure ShiftConflict calculation before persistence. AttendanceService records clock-in/out against the branch/user assignment and supplies a manager approval lifecycle. PayrollService aggregates approved monthly work. HandoverService creates a shift handover with recipients and tasks, supports acknowledgement and task progression, and exposes operational KPIs/history for the next barista or manager fallback.</w:t>
      </w:r>
    </w:p>
    <w:p>
      <w:r>
        <w:br w:type="page"/>
      </w:r>
    </w:p>
    <w:p>
      <w:pPr>
        <w:pStyle w:val="Heading2"/>
      </w:pPr>
      <w:r>
        <w:t>Appendix A. Database Data Dictionary</w:t>
      </w:r>
    </w:p>
    <w:p>
      <w:pPr>
        <w:spacing w:before="0" w:after="120" w:line="264" w:lineRule="auto"/>
      </w:pPr>
      <w:r>
        <w:rPr>
          <w:rFonts w:ascii="Arial" w:hAnsi="Arial" w:eastAsia="Arial"/>
          <w:i w:val="0"/>
          <w:color w:val="000000"/>
          <w:sz w:val="22"/>
        </w:rPr>
        <w:t>This appendix is generated from the current sql/database.sql definitions, including idempotent schema upgrades for ShiftHandover and WasteLog. PK = primary key; FK = foreign key; UN = unique; NN = NOT NULL. Field types are SQL Server types as declared.</w:t>
      </w:r>
    </w:p>
    <w:p>
      <w:pPr>
        <w:pStyle w:val="Heading3"/>
      </w:pPr>
      <w:r>
        <w:t>A.1 iam schema</w:t>
      </w:r>
    </w:p>
    <w:p>
      <w:pPr>
        <w:pStyle w:val="Heading4"/>
      </w:pPr>
      <w:r>
        <w:t>A.1 iam.Role</w:t>
      </w:r>
    </w:p>
    <w:p>
      <w:pPr>
        <w:spacing w:before="0" w:after="60" w:line="264" w:lineRule="auto"/>
      </w:pPr>
      <w:r>
        <w:rPr>
          <w:rFonts w:ascii="Arial" w:hAnsi="Arial" w:eastAsia="Arial"/>
          <w:i w:val="0"/>
          <w:color w:val="000000"/>
          <w:sz w:val="22"/>
        </w:rPr>
        <w:t>Reference list of the four application roles used by RBAC.</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RoleId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Role identifier.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Code</w:t>
              <w:br/>
              <w:t>VARCHAR(30)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 / BRANCH_MANAGER / CASHIER / BARISTA.</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NVARCHAR(80)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Human-readable name.</w:t>
            </w:r>
          </w:p>
        </w:tc>
      </w:tr>
    </w:tbl>
    <w:p>
      <w:pPr>
        <w:spacing w:after="60"/>
      </w:pPr>
    </w:p>
    <w:p>
      <w:pPr>
        <w:pStyle w:val="Heading4"/>
      </w:pPr>
      <w:r>
        <w:t>A.2 iam.User</w:t>
      </w:r>
    </w:p>
    <w:p>
      <w:pPr>
        <w:spacing w:before="0" w:after="60" w:line="264" w:lineRule="auto"/>
      </w:pPr>
      <w:r>
        <w:rPr>
          <w:rFonts w:ascii="Arial" w:hAnsi="Arial" w:eastAsia="Arial"/>
          <w:i w:val="0"/>
          <w:color w:val="000000"/>
          <w:sz w:val="22"/>
        </w:rPr>
        <w:t>Staff identity, role assignment, branch scope, and authentication state.</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Staff account identifier.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Username</w:t>
              <w:br/>
              <w:t>VARCHAR(60)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PasswordHash</w:t>
              <w:br/>
              <w:t>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Bcrypt/Argon2.</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FullName</w:t>
              <w:br/>
              <w:t>NVARCHAR(120)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Email</w:t>
              <w:br/>
              <w:t>VARCHAR(120)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Phone</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RoleId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iam.Role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Role identifier.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NULL với Admin (toàn chuỗi).</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4"/>
      </w:pPr>
      <w:r>
        <w:t>A.3 iam.RefreshToken</w:t>
      </w:r>
    </w:p>
    <w:p>
      <w:pPr>
        <w:spacing w:before="0" w:after="60" w:line="264" w:lineRule="auto"/>
      </w:pPr>
      <w:r>
        <w:rPr>
          <w:rFonts w:ascii="Arial" w:hAnsi="Arial" w:eastAsia="Arial"/>
          <w:i w:val="0"/>
          <w:color w:val="000000"/>
          <w:sz w:val="22"/>
        </w:rPr>
        <w:t>Reserved persistence for refresh-token lifecycle; session authentication is currently used by the web application.</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TokenId</w:t>
              <w:br/>
              <w:t>BIGINT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Token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Staff account identifier.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TokenHash</w:t>
              <w:br/>
              <w:t>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ExpiresAt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RevokedAt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4"/>
      </w:pPr>
      <w:r>
        <w:t>A.4 iam.Customer</w:t>
      </w:r>
    </w:p>
    <w:p>
      <w:pPr>
        <w:spacing w:before="0" w:after="60" w:line="264" w:lineRule="auto"/>
      </w:pPr>
      <w:r>
        <w:rPr>
          <w:rFonts w:ascii="Arial" w:hAnsi="Arial" w:eastAsia="Arial"/>
          <w:i w:val="0"/>
          <w:color w:val="000000"/>
          <w:sz w:val="22"/>
        </w:rPr>
        <w:t>Optional customer identity record associated with orders.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CustomerId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Customer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Phone</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FullName</w:t>
              <w:br/>
              <w:t>NVARCHAR(120)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3"/>
      </w:pPr>
      <w:r>
        <w:t>A.2 org schema</w:t>
      </w:r>
    </w:p>
    <w:p>
      <w:pPr>
        <w:pStyle w:val="Heading4"/>
      </w:pPr>
      <w:r>
        <w:t>A.5 org.Branch</w:t>
      </w:r>
    </w:p>
    <w:p>
      <w:pPr>
        <w:spacing w:before="0" w:after="60" w:line="264" w:lineRule="auto"/>
      </w:pPr>
      <w:r>
        <w:rPr>
          <w:rFonts w:ascii="Arial" w:hAnsi="Arial" w:eastAsia="Arial"/>
          <w:i w:val="0"/>
          <w:color w:val="000000"/>
          <w:sz w:val="22"/>
        </w:rPr>
        <w:t>Cafe branch master data and locally configured KDS peak threshold.</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Code</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code; uniqueness is enforced where declared.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NVARCHAR(150)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Human-readable name.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Address</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Phone</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OpenTime</w:t>
              <w:br/>
              <w:t>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CloseTime</w:t>
              <w:br/>
              <w:t>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ManagerUserId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FK thêm sau (ALTER).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IsActive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Soft-active flag.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PeakThresholdCups</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3"/>
      </w:pPr>
      <w:r>
        <w:t>A.3 catalog schema</w:t>
      </w:r>
    </w:p>
    <w:p>
      <w:pPr>
        <w:pStyle w:val="Heading4"/>
      </w:pPr>
      <w:r>
        <w:t>A.6 catalog.Category</w:t>
      </w:r>
    </w:p>
    <w:p>
      <w:pPr>
        <w:spacing w:before="0" w:after="60" w:line="264" w:lineRule="auto"/>
      </w:pPr>
      <w:r>
        <w:rPr>
          <w:rFonts w:ascii="Arial" w:hAnsi="Arial" w:eastAsia="Arial"/>
          <w:i w:val="0"/>
          <w:color w:val="000000"/>
          <w:sz w:val="22"/>
        </w:rPr>
        <w:t>Product grouping displayed in administration, POS, QR, and public menu pages.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CategoryId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Category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NVARCHAR(100)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Human-readable name.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SortOrder</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IsActive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Soft-active flag.</w:t>
            </w:r>
          </w:p>
        </w:tc>
      </w:tr>
    </w:tbl>
    <w:p>
      <w:pPr>
        <w:spacing w:after="60"/>
      </w:pPr>
    </w:p>
    <w:p>
      <w:pPr>
        <w:pStyle w:val="Heading4"/>
      </w:pPr>
      <w:r>
        <w:t>A.7 catalog.Product</w:t>
      </w:r>
    </w:p>
    <w:p>
      <w:pPr>
        <w:spacing w:before="0" w:after="60" w:line="264" w:lineRule="auto"/>
      </w:pPr>
      <w:r>
        <w:rPr>
          <w:rFonts w:ascii="Arial" w:hAnsi="Arial" w:eastAsia="Arial"/>
          <w:i w:val="0"/>
          <w:color w:val="000000"/>
          <w:sz w:val="22"/>
        </w:rPr>
        <w:t>Sellable product master, base price, home visibility, and standard preparation time.</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CategoryId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catalog.Category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catalog.Category.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NVARCHAR(150)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Human-readable name.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BasePrice</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ImageUrl</w:t>
              <w:br/>
              <w:t>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IsActive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Soft-active flag.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ShowOnHome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hiển thị trên trang Home công khai (Admin chỉnh).</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HomeSortOrder</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thứ tự ưu tiên trong danh mục trên Home (nhỏ = trước).</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PrepSeconds</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bl>
    <w:p>
      <w:pPr>
        <w:spacing w:after="60"/>
      </w:pPr>
    </w:p>
    <w:p>
      <w:pPr>
        <w:pStyle w:val="Heading4"/>
      </w:pPr>
      <w:r>
        <w:t>A.8 catalog.HomeSetting</w:t>
      </w:r>
    </w:p>
    <w:p>
      <w:pPr>
        <w:spacing w:before="0" w:after="60" w:line="264" w:lineRule="auto"/>
      </w:pPr>
      <w:r>
        <w:rPr>
          <w:rFonts w:ascii="Arial" w:hAnsi="Arial" w:eastAsia="Arial"/>
          <w:i w:val="0"/>
          <w:color w:val="000000"/>
          <w:sz w:val="22"/>
        </w:rPr>
        <w:t>Singleton content for the public home page hero.</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HeroEyebrow</w:t>
              <w:br/>
              <w:t>NVARCHAR(150)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HeroTitle</w:t>
              <w:br/>
              <w:t>NVARCHAR(200)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HeroSubtitle</w:t>
              <w:br/>
              <w:t>NVARCHAR(500)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HeroImageUrl</w:t>
              <w:br/>
              <w:t>VARCHAR(500)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UpdatedAt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last-update timestamp.</w:t>
            </w:r>
          </w:p>
        </w:tc>
      </w:tr>
    </w:tbl>
    <w:p>
      <w:pPr>
        <w:spacing w:after="60"/>
      </w:pPr>
    </w:p>
    <w:p>
      <w:pPr>
        <w:pStyle w:val="Heading4"/>
      </w:pPr>
      <w:r>
        <w:t>A.9 catalog.Ingredient</w:t>
      </w:r>
    </w:p>
    <w:p>
      <w:pPr>
        <w:spacing w:before="0" w:after="60" w:line="264" w:lineRule="auto"/>
      </w:pPr>
      <w:r>
        <w:rPr>
          <w:rFonts w:ascii="Arial" w:hAnsi="Arial" w:eastAsia="Arial"/>
          <w:i w:val="0"/>
          <w:color w:val="000000"/>
          <w:sz w:val="22"/>
        </w:rPr>
        <w:t>Ingredient master, including RAW/PREPPED type used by deduction rules.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NVARCHAR(120)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Human-readable name.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Unit</w:t>
              <w:br/>
              <w:t>NVARCHAR(20)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g, ml, cái, kg, L.</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IngredientType</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IsActive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Soft-active flag.</w:t>
            </w:r>
          </w:p>
        </w:tc>
      </w:tr>
    </w:tbl>
    <w:p>
      <w:pPr>
        <w:spacing w:after="60"/>
      </w:pPr>
    </w:p>
    <w:p>
      <w:pPr>
        <w:pStyle w:val="Heading4"/>
      </w:pPr>
      <w:r>
        <w:t>A.10 catalog.ProductRecipe</w:t>
      </w:r>
    </w:p>
    <w:p>
      <w:pPr>
        <w:spacing w:before="0" w:after="60" w:line="264" w:lineRule="auto"/>
      </w:pPr>
      <w:r>
        <w:rPr>
          <w:rFonts w:ascii="Arial" w:hAnsi="Arial" w:eastAsia="Arial"/>
          <w:i w:val="0"/>
          <w:color w:val="000000"/>
          <w:sz w:val="22"/>
        </w:rPr>
        <w:t>Bill of materials for a sellable product.</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ProductRecipeId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ProductRecipe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catalog.Product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Quantity</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quantity in the stated unit.</w:t>
            </w:r>
          </w:p>
        </w:tc>
      </w:tr>
    </w:tbl>
    <w:p>
      <w:pPr>
        <w:spacing w:after="60"/>
      </w:pPr>
    </w:p>
    <w:p>
      <w:pPr>
        <w:pStyle w:val="Heading4"/>
      </w:pPr>
      <w:r>
        <w:t>A.11 catalog.PrepRecipe</w:t>
      </w:r>
    </w:p>
    <w:p>
      <w:pPr>
        <w:spacing w:before="0" w:after="60" w:line="264" w:lineRule="auto"/>
      </w:pPr>
      <w:r>
        <w:rPr>
          <w:rFonts w:ascii="Arial" w:hAnsi="Arial" w:eastAsia="Arial"/>
          <w:i w:val="0"/>
          <w:color w:val="000000"/>
          <w:sz w:val="22"/>
        </w:rPr>
        <w:t>Conversion recipe from RAW ingredients to a PREPPED ingredient and yield.</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PrepRecipeId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PrepRecipe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PreppedIngredientId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phải là Ingredient type PREPPED.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RawIngredientId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phải là Ingredient type RAW.</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Quantity</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quantity in the stated unit.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YieldQty</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1 mẻ ra bao nhiêu PREPPED.</w:t>
            </w:r>
          </w:p>
        </w:tc>
      </w:tr>
    </w:tbl>
    <w:p>
      <w:pPr>
        <w:spacing w:after="60"/>
      </w:pPr>
    </w:p>
    <w:p>
      <w:pPr>
        <w:pStyle w:val="Heading4"/>
      </w:pPr>
      <w:r>
        <w:t>A.12 catalog.ModifierGroup</w:t>
      </w:r>
    </w:p>
    <w:p>
      <w:pPr>
        <w:spacing w:before="0" w:after="60" w:line="264" w:lineRule="auto"/>
      </w:pPr>
      <w:r>
        <w:rPr>
          <w:rFonts w:ascii="Arial" w:hAnsi="Arial" w:eastAsia="Arial"/>
          <w:i w:val="0"/>
          <w:color w:val="000000"/>
          <w:sz w:val="22"/>
        </w:rPr>
        <w:t>Selectable modifier group and its selection constraints.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ModifierGroupId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ModifierGroup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NVARCHAR(80)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Human-readable name.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IsRequired</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Boolean control flag.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MinSelect</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MaxSelect</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bl>
    <w:p>
      <w:pPr>
        <w:spacing w:after="60"/>
      </w:pPr>
    </w:p>
    <w:p>
      <w:pPr>
        <w:pStyle w:val="Heading4"/>
      </w:pPr>
      <w:r>
        <w:t>A.13 catalog.ModifierOption</w:t>
      </w:r>
    </w:p>
    <w:p>
      <w:pPr>
        <w:spacing w:before="0" w:after="60" w:line="264" w:lineRule="auto"/>
      </w:pPr>
      <w:r>
        <w:rPr>
          <w:rFonts w:ascii="Arial" w:hAnsi="Arial" w:eastAsia="Arial"/>
          <w:i w:val="0"/>
          <w:color w:val="000000"/>
          <w:sz w:val="22"/>
        </w:rPr>
        <w:t>Option in a modifier group, including price delta.</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ModifierOptionId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ModifierOption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ModifierGroupId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catalog.ModifierGroup</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catalog.ModifierGroup.</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NVARCHAR(80)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Size L, Oat milk, Extra 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PriceDelta</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IsActive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Soft-active flag.</w:t>
            </w:r>
          </w:p>
        </w:tc>
      </w:tr>
    </w:tbl>
    <w:p>
      <w:pPr>
        <w:spacing w:after="60"/>
      </w:pPr>
    </w:p>
    <w:p>
      <w:pPr>
        <w:pStyle w:val="Heading4"/>
      </w:pPr>
      <w:r>
        <w:t>A.14 catalog.ProductModifierGroup</w:t>
      </w:r>
    </w:p>
    <w:p>
      <w:pPr>
        <w:spacing w:before="0" w:after="60" w:line="264" w:lineRule="auto"/>
      </w:pPr>
      <w:r>
        <w:rPr>
          <w:rFonts w:ascii="Arial" w:hAnsi="Arial" w:eastAsia="Arial"/>
          <w:i w:val="0"/>
          <w:color w:val="000000"/>
          <w:sz w:val="22"/>
        </w:rPr>
        <w:t>Association specifying which modifier groups apply to a product.</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catalog.Product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ModifierGroupId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catalog.ModifierGroup</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catalog.ModifierGroup.</w:t>
            </w:r>
          </w:p>
        </w:tc>
      </w:tr>
    </w:tbl>
    <w:p>
      <w:pPr>
        <w:spacing w:after="60"/>
      </w:pPr>
    </w:p>
    <w:p>
      <w:pPr>
        <w:pStyle w:val="Heading4"/>
      </w:pPr>
      <w:r>
        <w:t>A.15 catalog.ModifierIngredientImpact</w:t>
      </w:r>
    </w:p>
    <w:p>
      <w:pPr>
        <w:spacing w:before="0" w:after="60" w:line="264" w:lineRule="auto"/>
      </w:pPr>
      <w:r>
        <w:rPr>
          <w:rFonts w:ascii="Arial" w:hAnsi="Arial" w:eastAsia="Arial"/>
          <w:i w:val="0"/>
          <w:color w:val="000000"/>
          <w:sz w:val="22"/>
        </w:rPr>
        <w:t>Ingredient quantity delta caused by a selected modifier option.</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ImpactId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Impact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ModifierOptionId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catalog.ModifierOption</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catalog.ModifierOption.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QtyDelta</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+18g cà phê (extra shot), -200ml sữa bò + 200ml oat.</w:t>
            </w:r>
          </w:p>
        </w:tc>
      </w:tr>
    </w:tbl>
    <w:p>
      <w:pPr>
        <w:spacing w:after="60"/>
      </w:pPr>
    </w:p>
    <w:p>
      <w:pPr>
        <w:pStyle w:val="Heading4"/>
      </w:pPr>
      <w:r>
        <w:t>A.16 catalog.BranchMenu</w:t>
      </w:r>
    </w:p>
    <w:p>
      <w:pPr>
        <w:spacing w:before="0" w:after="60" w:line="264" w:lineRule="auto"/>
      </w:pPr>
      <w:r>
        <w:rPr>
          <w:rFonts w:ascii="Arial" w:hAnsi="Arial" w:eastAsia="Arial"/>
          <w:i w:val="0"/>
          <w:color w:val="000000"/>
          <w:sz w:val="22"/>
        </w:rPr>
        <w:t>Branch-specific availability, local price, and temporary 86 status for products.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catalog.Product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IsAvailable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Boolean control flag.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LocalPrice</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NULL = dùng BasePrice.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Is86</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hết tạm thời (Barista toggle).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BackInEta</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bl>
    <w:p>
      <w:pPr>
        <w:spacing w:after="60"/>
      </w:pPr>
    </w:p>
    <w:p>
      <w:pPr>
        <w:pStyle w:val="Heading4"/>
      </w:pPr>
      <w:r>
        <w:t>A.17 catalog.MenuBlockRequest</w:t>
      </w:r>
    </w:p>
    <w:p>
      <w:pPr>
        <w:spacing w:before="0" w:after="60" w:line="264" w:lineRule="auto"/>
      </w:pPr>
      <w:r>
        <w:rPr>
          <w:rFonts w:ascii="Arial" w:hAnsi="Arial" w:eastAsia="Arial"/>
          <w:i w:val="0"/>
          <w:color w:val="000000"/>
          <w:sz w:val="22"/>
        </w:rPr>
        <w:t>Barista-to-manager request and review workflow for temporary menu blocking.</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RequestId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Request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catalog.Product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Reason</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Note</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BackInEta</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tuỳ chọn: 86 sự cố (máy hỏng...) thường bất định thời gian có lại.</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RequestedBy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RequestedAt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ReopenRequestedAt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ReviewedBy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ReviewedAt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ReviewNote</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ClosedAt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3"/>
      </w:pPr>
      <w:r>
        <w:t>A.4 inventory schema</w:t>
      </w:r>
    </w:p>
    <w:p>
      <w:pPr>
        <w:pStyle w:val="Heading4"/>
      </w:pPr>
      <w:r>
        <w:t>A.18 inventory.Supplier</w:t>
      </w:r>
    </w:p>
    <w:p>
      <w:pPr>
        <w:spacing w:before="0" w:after="60" w:line="264" w:lineRule="auto"/>
      </w:pPr>
      <w:r>
        <w:rPr>
          <w:rFonts w:ascii="Arial" w:hAnsi="Arial" w:eastAsia="Arial"/>
          <w:i w:val="0"/>
          <w:color w:val="000000"/>
          <w:sz w:val="22"/>
        </w:rPr>
        <w:t>Supplier master data for receipts.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SupplierId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Supplier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NVARCHAR(150)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Human-readable name.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Phone</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Address</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IsActive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Soft-active flag.</w:t>
            </w:r>
          </w:p>
        </w:tc>
      </w:tr>
    </w:tbl>
    <w:p>
      <w:pPr>
        <w:spacing w:after="60"/>
      </w:pPr>
    </w:p>
    <w:p>
      <w:pPr>
        <w:pStyle w:val="Heading4"/>
      </w:pPr>
      <w:r>
        <w:t>A.19 inventory.BranchInventory</w:t>
      </w:r>
    </w:p>
    <w:p>
      <w:pPr>
        <w:spacing w:before="0" w:after="60" w:line="264" w:lineRule="auto"/>
      </w:pPr>
      <w:r>
        <w:rPr>
          <w:rFonts w:ascii="Arial" w:hAnsi="Arial" w:eastAsia="Arial"/>
          <w:i w:val="0"/>
          <w:color w:val="000000"/>
          <w:sz w:val="22"/>
        </w:rPr>
        <w:t>Current materialized quantity on hand by branch and ingredient; backed by the ledger.</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QuantityOnHand</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Inventory quantity/balance value.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MinThreshold</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ngưỡng cảnh báo min-stock.</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UpdatedAt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last-update timestamp.</w:t>
            </w:r>
          </w:p>
        </w:tc>
      </w:tr>
    </w:tbl>
    <w:p>
      <w:pPr>
        <w:spacing w:after="60"/>
      </w:pPr>
    </w:p>
    <w:p>
      <w:pPr>
        <w:pStyle w:val="Heading4"/>
      </w:pPr>
      <w:r>
        <w:t>A.20 inventory.StockReceipt</w:t>
      </w:r>
    </w:p>
    <w:p>
      <w:pPr>
        <w:spacing w:before="0" w:after="60" w:line="264" w:lineRule="auto"/>
      </w:pPr>
      <w:r>
        <w:rPr>
          <w:rFonts w:ascii="Arial" w:hAnsi="Arial" w:eastAsia="Arial"/>
          <w:i w:val="0"/>
          <w:color w:val="000000"/>
          <w:sz w:val="22"/>
        </w:rPr>
        <w:t>Purchase/stock receipt header with DRAFT, CONFIRMED, or CANCELLED state.</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StockReceiptId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StockReceipt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SupplierId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inventory.Supplier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inventory.Supplier.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ReceivedBy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 (Manager).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ReceiptDate</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TotalCost</w:t>
              <w:br/>
              <w:t>DECIMAL(14,2)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Note</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bl>
    <w:p>
      <w:pPr>
        <w:spacing w:after="60"/>
      </w:pPr>
    </w:p>
    <w:p>
      <w:pPr>
        <w:pStyle w:val="Heading4"/>
      </w:pPr>
      <w:r>
        <w:t>A.21 inventory.StockReceiptDetail</w:t>
      </w:r>
    </w:p>
    <w:p>
      <w:pPr>
        <w:spacing w:before="0" w:after="60" w:line="264" w:lineRule="auto"/>
      </w:pPr>
      <w:r>
        <w:rPr>
          <w:rFonts w:ascii="Arial" w:hAnsi="Arial" w:eastAsia="Arial"/>
          <w:i w:val="0"/>
          <w:color w:val="000000"/>
          <w:sz w:val="22"/>
        </w:rPr>
        <w:t>Ingredient line of a stock receipt.</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StockReceiptDetailId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StockReceiptDetail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StockReceiptId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inventory.StockReceipt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inventory.StockReceipt.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Quantity</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quantity in the stated unit.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UnitCost</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Unit</w:t>
              <w:br/>
              <w:t>NVARCHAR(20)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đơn vị nhập per-line (vd "Túi"); NULL = dùng đơn vị gốc nguyên liệu.</w:t>
            </w:r>
          </w:p>
        </w:tc>
      </w:tr>
    </w:tbl>
    <w:p>
      <w:pPr>
        <w:spacing w:after="60"/>
      </w:pPr>
    </w:p>
    <w:p>
      <w:pPr>
        <w:pStyle w:val="Heading4"/>
      </w:pPr>
      <w:r>
        <w:t>A.22 inventory.PrepBatch</w:t>
      </w:r>
    </w:p>
    <w:p>
      <w:pPr>
        <w:spacing w:before="0" w:after="60" w:line="264" w:lineRule="auto"/>
      </w:pPr>
      <w:r>
        <w:rPr>
          <w:rFonts w:ascii="Arial" w:hAnsi="Arial" w:eastAsia="Arial"/>
          <w:i w:val="0"/>
          <w:color w:val="000000"/>
          <w:sz w:val="22"/>
        </w:rPr>
        <w:t>Production batch that consumes RAW and creates PREPPED stock.</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PrepBatchId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PrepBatch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PreppedIngredientId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type PREPPED.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QuantityProduced</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MadeBy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 (Barista).</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MadeAt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ExpiresAt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huỷ mẻ = ghi txn bù + đánh dấu CANCELLED (không hard-delete).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VoidedAt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4"/>
      </w:pPr>
      <w:r>
        <w:t>A.23 inventory.WasteLog</w:t>
      </w:r>
    </w:p>
    <w:p>
      <w:pPr>
        <w:spacing w:before="0" w:after="60" w:line="264" w:lineRule="auto"/>
      </w:pPr>
      <w:r>
        <w:rPr>
          <w:rFonts w:ascii="Arial" w:hAnsi="Arial" w:eastAsia="Arial"/>
          <w:i w:val="0"/>
          <w:color w:val="000000"/>
          <w:sz w:val="22"/>
        </w:rPr>
        <w:t>Line-level waste log, including cost snapshot and event link.</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WasteLogId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WasteLog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Quantity</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quantity in the stated unit.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WasteType</w:t>
              <w:br/>
              <w:t>VARCHAR(12)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Reason</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LoggedBy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LoggedAt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huỷ = ghi txn bù (hoàn kho) + đánh dấu VOIDED (không hard-delete).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VoidedAt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WasteEventId</w:t>
              <w:br/>
              <w:t>BIGINT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gắn dòng hao hụt vào event audit (FK_WL_Event thêm sau khi WasteEvent tồn tại).</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UnitCostAtLog</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snapshot đơn giá nguyên liệu lúc ghi (không phụ thuộc giá đổi về sau).</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CostBasis</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căn cứ chi phí của snapshot.</w:t>
            </w:r>
          </w:p>
        </w:tc>
      </w:tr>
    </w:tbl>
    <w:p>
      <w:pPr>
        <w:spacing w:after="60"/>
      </w:pPr>
    </w:p>
    <w:p>
      <w:pPr>
        <w:pStyle w:val="Heading4"/>
      </w:pPr>
      <w:r>
        <w:t>A.24 inventory.StockAdjustment</w:t>
      </w:r>
    </w:p>
    <w:p>
      <w:pPr>
        <w:spacing w:before="0" w:after="60" w:line="264" w:lineRule="auto"/>
      </w:pPr>
      <w:r>
        <w:rPr>
          <w:rFonts w:ascii="Arial" w:hAnsi="Arial" w:eastAsia="Arial"/>
          <w:i w:val="0"/>
          <w:color w:val="000000"/>
          <w:sz w:val="22"/>
        </w:rPr>
        <w:t>Recorded physical-count adjustment request/history.</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StockAdjustmentId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StockAdjustment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SystemQty</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ActualQty</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DiffQty</w:t>
              <w:br/>
              <w:t>AS</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Reason</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Unit</w:t>
              <w:br/>
              <w:t>NVARCHAR(20)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đơn vị đếm per-line (vd "Túi"); NULL = dùng đơn vị gốc nguyên liệu.</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AdjustedBy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AdjustedAt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4"/>
      </w:pPr>
      <w:r>
        <w:t>A.25 inventory.InventoryTransaction</w:t>
      </w:r>
    </w:p>
    <w:p>
      <w:pPr>
        <w:spacing w:before="0" w:after="60" w:line="264" w:lineRule="auto"/>
      </w:pPr>
      <w:r>
        <w:rPr>
          <w:rFonts w:ascii="Arial" w:hAnsi="Arial" w:eastAsia="Arial"/>
          <w:i w:val="0"/>
          <w:color w:val="000000"/>
          <w:sz w:val="22"/>
        </w:rPr>
        <w:t>Immutable inventory ledger used for every stock delta.</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InventoryTxnId</w:t>
              <w:br/>
              <w:t>BIGINT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InventoryTxn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ChangeQty</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dương: cộng; âm: trừ.</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TxnType</w:t>
              <w:br/>
              <w:t>VARCHAR(12)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RefTable</w:t>
              <w:br/>
              <w:t>VARCHAR(40)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bảng nguồn (StockReceipt, OrderItem, PrepBatch...).</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RefId</w:t>
              <w:br/>
              <w:t>BIGINT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 bản ghi nguồn.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4"/>
      </w:pPr>
      <w:r>
        <w:t>A.26 inventory.WasteEvent</w:t>
      </w:r>
    </w:p>
    <w:p>
      <w:pPr>
        <w:spacing w:before="0" w:after="60" w:line="264" w:lineRule="auto"/>
      </w:pPr>
      <w:r>
        <w:rPr>
          <w:rFonts w:ascii="Arial" w:hAnsi="Arial" w:eastAsia="Arial"/>
          <w:i w:val="0"/>
          <w:color w:val="000000"/>
          <w:sz w:val="22"/>
        </w:rPr>
        <w:t>Event-level source of a manual waste or KDS remake operation.</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WasteEventId</w:t>
              <w:br/>
              <w:t>BIGINT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WasteEvent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EventKind</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Source</w:t>
              <w:br/>
              <w:t>VARCHAR(12)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catalog.Product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OrderItemId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sales.OrderItem</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 item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CupQuantity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CauseCode</w:t>
              <w:br/>
              <w:t>VARCHAR(24)</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CauseDetail</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ShiftAssignmentId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hr.ShiftAssignment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hr.ShiftAssignment.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ClientRequestId</w:t>
              <w:br/>
              <w:t>VARCHAR(64)</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chống double-submit (idempotency theo chi nhánh).</w:t>
            </w:r>
          </w:p>
        </w:tc>
      </w:tr>
    </w:tbl>
    <w:p>
      <w:pPr>
        <w:spacing w:after="60"/>
      </w:pPr>
    </w:p>
    <w:p>
      <w:pPr>
        <w:pStyle w:val="Heading4"/>
      </w:pPr>
      <w:r>
        <w:t>A.27 inventory.WasteAuditLog</w:t>
      </w:r>
    </w:p>
    <w:p>
      <w:pPr>
        <w:spacing w:before="0" w:after="60" w:line="264" w:lineRule="auto"/>
      </w:pPr>
      <w:r>
        <w:rPr>
          <w:rFonts w:ascii="Arial" w:hAnsi="Arial" w:eastAsia="Arial"/>
          <w:i w:val="0"/>
          <w:color w:val="000000"/>
          <w:sz w:val="22"/>
        </w:rPr>
        <w:t>Before/after audit history for waste create, edit, void, and review actions.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WasteAuditLogId</w:t>
              <w:br/>
              <w:t>BIGINT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WasteAuditLog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WasteLogId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inventory.WasteLog</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inventory.WasteLog.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WasteEventId</w:t>
              <w:br/>
              <w:t>BIGINT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inventory.WasteEvent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inventory.WasteEvent.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ActionType</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BeforeValue</w:t>
              <w:br/>
              <w:t>NVARCHAR(1000)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AfterValue</w:t>
              <w:br/>
              <w:t>NVARCHAR(1000)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Reason</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PerformedBy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PerformedAt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4"/>
      </w:pPr>
      <w:r>
        <w:t>A.28 inventory.WasteReview</w:t>
      </w:r>
    </w:p>
    <w:p>
      <w:pPr>
        <w:spacing w:before="0" w:after="60" w:line="264" w:lineRule="auto"/>
      </w:pPr>
      <w:r>
        <w:rPr>
          <w:rFonts w:ascii="Arial" w:hAnsi="Arial" w:eastAsia="Arial"/>
          <w:i w:val="0"/>
          <w:color w:val="000000"/>
          <w:sz w:val="22"/>
        </w:rPr>
        <w:t>Manager reconciliation queue for negative/corrective waste effects.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WasteReviewId</w:t>
              <w:br/>
              <w:t>BIGINT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WasteReview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WasteEventId</w:t>
              <w:br/>
              <w:t>BIGINT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inventory.WasteEvent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inventory.WasteEvent.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catalog.Ingredient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ReviewType</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QtyBefore</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QtyAfter</w:t>
              <w:br/>
              <w:t>DECIMAL(12,3)</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VARCHAR(16)</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Note</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ResolvedBy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ResolvedAt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ResolutionNote</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bl>
    <w:p>
      <w:pPr>
        <w:spacing w:after="60"/>
      </w:pPr>
    </w:p>
    <w:p>
      <w:pPr>
        <w:pStyle w:val="Heading3"/>
      </w:pPr>
      <w:r>
        <w:t>A.5 hr schema</w:t>
      </w:r>
    </w:p>
    <w:p>
      <w:pPr>
        <w:pStyle w:val="Heading4"/>
      </w:pPr>
      <w:r>
        <w:t>A.29 hr.ShiftTemplate</w:t>
      </w:r>
    </w:p>
    <w:p>
      <w:pPr>
        <w:spacing w:before="0" w:after="60" w:line="264" w:lineRule="auto"/>
      </w:pPr>
      <w:r>
        <w:rPr>
          <w:rFonts w:ascii="Arial" w:hAnsi="Arial" w:eastAsia="Arial"/>
          <w:i w:val="0"/>
          <w:color w:val="000000"/>
          <w:sz w:val="22"/>
        </w:rPr>
        <w:t>Reusable named shift time template.</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ShiftTemplateId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ShiftTemplate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Name</w:t>
              <w:br/>
              <w:t>NVARCHAR(60)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 sáng / chiều / tối.</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StartTime</w:t>
              <w:br/>
              <w:t>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EndTime</w:t>
              <w:br/>
              <w:t>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bl>
    <w:p>
      <w:pPr>
        <w:spacing w:after="60"/>
      </w:pPr>
    </w:p>
    <w:p>
      <w:pPr>
        <w:pStyle w:val="Heading4"/>
      </w:pPr>
      <w:r>
        <w:t>A.30 hr.ShiftAssignment</w:t>
      </w:r>
    </w:p>
    <w:p>
      <w:pPr>
        <w:spacing w:before="0" w:after="60" w:line="264" w:lineRule="auto"/>
      </w:pPr>
      <w:r>
        <w:rPr>
          <w:rFonts w:ascii="Arial" w:hAnsi="Arial" w:eastAsia="Arial"/>
          <w:i w:val="0"/>
          <w:color w:val="000000"/>
          <w:sz w:val="22"/>
        </w:rPr>
        <w:t>Staff-to-shift assignment used for scheduling and attendance.</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ShiftAssignmentId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ShiftAssignment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ShiftTemplateId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hr.ShiftTemplate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hr.ShiftTemplate.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Staff account identifier.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WorkDate</w:t>
              <w:br/>
              <w:t>DATE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4"/>
      </w:pPr>
      <w:r>
        <w:t>A.31 hr.Attendance</w:t>
      </w:r>
    </w:p>
    <w:p>
      <w:pPr>
        <w:spacing w:before="0" w:after="60" w:line="264" w:lineRule="auto"/>
      </w:pPr>
      <w:r>
        <w:rPr>
          <w:rFonts w:ascii="Arial" w:hAnsi="Arial" w:eastAsia="Arial"/>
          <w:i w:val="0"/>
          <w:color w:val="000000"/>
          <w:sz w:val="22"/>
        </w:rPr>
        <w:t>Clock-in/out and manager approval record.</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AttendanceId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Attendance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ShiftAssignmentId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hr.ShiftAssignment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hr.ShiftAssignment.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ApprovedBy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bl>
    <w:p>
      <w:pPr>
        <w:spacing w:after="60"/>
      </w:pPr>
    </w:p>
    <w:p>
      <w:pPr>
        <w:pStyle w:val="Heading4"/>
      </w:pPr>
      <w:r>
        <w:t>A.32 hr.AttendanceDuplicateArchive</w:t>
      </w:r>
    </w:p>
    <w:p>
      <w:pPr>
        <w:spacing w:before="0" w:after="60" w:line="264" w:lineRule="auto"/>
      </w:pPr>
      <w:r>
        <w:rPr>
          <w:rFonts w:ascii="Arial" w:hAnsi="Arial" w:eastAsia="Arial"/>
          <w:i w:val="0"/>
          <w:color w:val="000000"/>
          <w:sz w:val="22"/>
        </w:rPr>
        <w:t>Archive used by attendance integrity migration/control.</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AttendanceDuplicateArchiveId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AttendanceDuplicateArchive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SourceAttendanceId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SourceAttendance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ShiftAssignmentId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ShiftAssignment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ApprovedBy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ArchivedAt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ArchiveReason</w:t>
              <w:br/>
              <w:t>NVARCHAR(300)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bl>
    <w:p>
      <w:pPr>
        <w:spacing w:after="60"/>
      </w:pPr>
    </w:p>
    <w:p>
      <w:pPr>
        <w:pStyle w:val="Heading4"/>
      </w:pPr>
      <w:r>
        <w:t>A.33 hr.Payroll</w:t>
      </w:r>
    </w:p>
    <w:p>
      <w:pPr>
        <w:spacing w:before="0" w:after="60" w:line="264" w:lineRule="auto"/>
      </w:pPr>
      <w:r>
        <w:rPr>
          <w:rFonts w:ascii="Arial" w:hAnsi="Arial" w:eastAsia="Arial"/>
          <w:i w:val="0"/>
          <w:color w:val="000000"/>
          <w:sz w:val="22"/>
        </w:rPr>
        <w:t>Monthly payroll calculation and saved approval data.</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PayrollId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Payroll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Staff account identifier.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PayMonth</w:t>
              <w:br/>
              <w:t>CHAR(7)</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'yyyy-MM'.</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WorkedHours</w:t>
              <w:br/>
              <w:t>DECIMAL(10,2)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HourlyRate</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UpdatedBy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UpdatedAt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last-update timestamp.</w:t>
            </w:r>
          </w:p>
        </w:tc>
      </w:tr>
    </w:tbl>
    <w:p>
      <w:pPr>
        <w:spacing w:after="60"/>
      </w:pPr>
    </w:p>
    <w:p>
      <w:pPr>
        <w:pStyle w:val="Heading4"/>
      </w:pPr>
      <w:r>
        <w:t>A.34 hr.ShiftHandover</w:t>
      </w:r>
    </w:p>
    <w:p>
      <w:pPr>
        <w:spacing w:before="0" w:after="60" w:line="264" w:lineRule="auto"/>
      </w:pPr>
      <w:r>
        <w:rPr>
          <w:rFonts w:ascii="Arial" w:hAnsi="Arial" w:eastAsia="Arial"/>
          <w:i w:val="0"/>
          <w:color w:val="000000"/>
          <w:sz w:val="22"/>
        </w:rPr>
        <w:t>Barista shift handover record and overall receipt workflow.</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ShiftHandoverId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ShiftHandover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Note</w:t>
              <w:br/>
              <w:t>NVARCHAR(1000)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SourceShiftAssignmentId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hr.ShiftAssignment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hr.ShiftAssignment.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OverallStatus</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4"/>
      </w:pPr>
      <w:r>
        <w:t>A.35 hr.ShiftHandoverRecipient</w:t>
      </w:r>
    </w:p>
    <w:p>
      <w:pPr>
        <w:spacing w:before="0" w:after="60" w:line="264" w:lineRule="auto"/>
      </w:pPr>
      <w:r>
        <w:rPr>
          <w:rFonts w:ascii="Arial" w:hAnsi="Arial" w:eastAsia="Arial"/>
          <w:i w:val="0"/>
          <w:color w:val="000000"/>
          <w:sz w:val="22"/>
        </w:rPr>
        <w:t>Recipient acknowledgement for a handover.</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ShiftHandoverRecipientId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ShiftHandoverRecipient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ShiftHandoverId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hr.ShiftHandover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hr.ShiftHandover.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RecipientUserId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iam.User.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RecipientShiftAssignmentId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hr.ShiftAssignment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hr.ShiftAssignment.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RecipientType</w:t>
              <w:br/>
              <w:t>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AcknowledgedAt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4"/>
      </w:pPr>
      <w:r>
        <w:t>A.36 hr.ShiftHandoverTask</w:t>
      </w:r>
    </w:p>
    <w:p>
      <w:pPr>
        <w:spacing w:before="0" w:after="60" w:line="264" w:lineRule="auto"/>
      </w:pPr>
      <w:r>
        <w:rPr>
          <w:rFonts w:ascii="Arial" w:hAnsi="Arial" w:eastAsia="Arial"/>
          <w:i w:val="0"/>
          <w:color w:val="000000"/>
          <w:sz w:val="22"/>
        </w:rPr>
        <w:t>Actionable task carried in a handover.</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ShiftHandoverTaskId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ShiftHandoverTask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ShiftHandoverId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hr.ShiftHandover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hr.ShiftHandover.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Content</w:t>
              <w:br/>
              <w:t>NVARCHAR(500)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UpdatedBy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UpdatedAt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last-update timestamp.</w:t>
            </w:r>
          </w:p>
        </w:tc>
      </w:tr>
    </w:tbl>
    <w:p>
      <w:pPr>
        <w:spacing w:after="60"/>
      </w:pPr>
    </w:p>
    <w:p>
      <w:pPr>
        <w:pStyle w:val="Heading3"/>
      </w:pPr>
      <w:r>
        <w:t>A.6 sales schema</w:t>
      </w:r>
    </w:p>
    <w:p>
      <w:pPr>
        <w:pStyle w:val="Heading4"/>
      </w:pPr>
      <w:r>
        <w:t>A.37 sales.DiningTable</w:t>
      </w:r>
    </w:p>
    <w:p>
      <w:pPr>
        <w:spacing w:before="0" w:after="60" w:line="264" w:lineRule="auto"/>
      </w:pPr>
      <w:r>
        <w:rPr>
          <w:rFonts w:ascii="Arial" w:hAnsi="Arial" w:eastAsia="Arial"/>
          <w:i w:val="0"/>
          <w:color w:val="000000"/>
          <w:sz w:val="22"/>
        </w:rPr>
        <w:t>Physical table and QR code at a branch.</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DiningTableId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Dining table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TableNumber</w:t>
              <w:br/>
              <w:t>NVARCHAR(20)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QrCode</w:t>
              <w:br/>
              <w:t>VARCHAR(80)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mã QR dán tại bàn.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bl>
    <w:p>
      <w:pPr>
        <w:spacing w:after="60"/>
      </w:pPr>
    </w:p>
    <w:p>
      <w:pPr>
        <w:pStyle w:val="Heading4"/>
      </w:pPr>
      <w:r>
        <w:t>A.38 sales.TableSession</w:t>
      </w:r>
    </w:p>
    <w:p>
      <w:pPr>
        <w:spacing w:before="0" w:after="60" w:line="264" w:lineRule="auto"/>
      </w:pPr>
      <w:r>
        <w:rPr>
          <w:rFonts w:ascii="Arial" w:hAnsi="Arial" w:eastAsia="Arial"/>
          <w:i w:val="0"/>
          <w:color w:val="000000"/>
          <w:sz w:val="22"/>
        </w:rPr>
        <w:t>Dine-in tab/session; the backbone to which orders and bills are attached.</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TableSessionId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Dine-in table session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DiningTableId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sales.DiningTable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Dining table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OpenedBy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 mở; NULL nếu khách tự mở qua QR.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OpenedAt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ClosedAt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bl>
    <w:p>
      <w:pPr>
        <w:spacing w:after="60"/>
      </w:pPr>
    </w:p>
    <w:p>
      <w:pPr>
        <w:pStyle w:val="Heading4"/>
      </w:pPr>
      <w:r>
        <w:t>A.39 sales.Orders</w:t>
      </w:r>
    </w:p>
    <w:p>
      <w:pPr>
        <w:spacing w:before="0" w:after="60" w:line="264" w:lineRule="auto"/>
      </w:pPr>
      <w:r>
        <w:rPr>
          <w:rFonts w:ascii="Arial" w:hAnsi="Arial" w:eastAsia="Arial"/>
          <w:i w:val="0"/>
          <w:color w:val="000000"/>
          <w:sz w:val="22"/>
        </w:rPr>
        <w:t>Unified COUNTER and QR order header.</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TableSessionId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sales.TableSession</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NULL nếu takeaway tại quầy.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CustomerId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iam.Customer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iam.Customer.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Source</w:t>
              <w:br/>
              <w:t>VARCHAR(8)</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OrderType</w:t>
              <w:br/>
              <w:t>VARCHAR(16)</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 (Cashier) nếu đơn quầy.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PickupCode</w:t>
              <w:br/>
              <w:t>VARCHAR(8)</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4"/>
      </w:pPr>
      <w:r>
        <w:t>A.40 sales.OrderItem</w:t>
      </w:r>
    </w:p>
    <w:p>
      <w:pPr>
        <w:spacing w:before="0" w:after="60" w:line="264" w:lineRule="auto"/>
      </w:pPr>
      <w:r>
        <w:rPr>
          <w:rFonts w:ascii="Arial" w:hAnsi="Arial" w:eastAsia="Arial"/>
          <w:i w:val="0"/>
          <w:color w:val="000000"/>
          <w:sz w:val="22"/>
        </w:rPr>
        <w:t>Order line and common KDS/customer status state machine.</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OrderItemId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 item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sales.Orders</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catalog.Product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Quantity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quantity in the stated unit.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UnitPrice</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giá tại thời điểm đặt (đã gồm modifier).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Note</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VARCHAR(16)</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Priority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KDS bump: đẩy đơn quá giờ lên đầu (cao = ưu tiên).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StartedAt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để tính lead time.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DoneAt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mốc pha xong (→READY).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người nhận pha (khóa claim).</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PreparedBy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 bấm READY, dùng cho KPI cá nhân.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HasIssue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Boolean control flag.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IssueReason</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Boolean control flag.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IssueReportedBy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Boolean control flag.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IssueReportedAt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Boolean control flag.</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RemakeCount</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RemakeInventoryReserved</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HandoverLocation</w:t>
              <w:br/>
              <w:t>NVARCHAR(80)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20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PickedUpBy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21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PickedUpAt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22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ServedAt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mốc giao khách (→SERVED); NULL khi hoàn tác giao.</w:t>
            </w:r>
          </w:p>
        </w:tc>
      </w:tr>
    </w:tbl>
    <w:p>
      <w:pPr>
        <w:spacing w:after="60"/>
      </w:pPr>
    </w:p>
    <w:p>
      <w:pPr>
        <w:pStyle w:val="Heading4"/>
      </w:pPr>
      <w:r>
        <w:t>A.41 sales.OrderItemModifier</w:t>
      </w:r>
    </w:p>
    <w:p>
      <w:pPr>
        <w:spacing w:before="0" w:after="60" w:line="264" w:lineRule="auto"/>
      </w:pPr>
      <w:r>
        <w:rPr>
          <w:rFonts w:ascii="Arial" w:hAnsi="Arial" w:eastAsia="Arial"/>
          <w:i w:val="0"/>
          <w:color w:val="000000"/>
          <w:sz w:val="22"/>
        </w:rPr>
        <w:t>Modifier selections frozen with their price delta at order time.</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OrderItemModifierId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OrderItemModifier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OrderItemId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sales.OrderItem</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 item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ModifierOptionId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catalog.ModifierOption</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catalog.ModifierOption.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PriceDelta</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bl>
    <w:p>
      <w:pPr>
        <w:spacing w:after="60"/>
      </w:pPr>
    </w:p>
    <w:p>
      <w:pPr>
        <w:pStyle w:val="Heading3"/>
      </w:pPr>
      <w:r>
        <w:t>A.7 payment schema</w:t>
      </w:r>
    </w:p>
    <w:p>
      <w:pPr>
        <w:pStyle w:val="Heading4"/>
      </w:pPr>
      <w:r>
        <w:t>A.42 payment.CashierShift</w:t>
      </w:r>
    </w:p>
    <w:p>
      <w:pPr>
        <w:spacing w:before="0" w:after="60" w:line="264" w:lineRule="auto"/>
      </w:pPr>
      <w:r>
        <w:rPr>
          <w:rFonts w:ascii="Arial" w:hAnsi="Arial" w:eastAsia="Arial"/>
          <w:i w:val="0"/>
          <w:color w:val="000000"/>
          <w:sz w:val="22"/>
        </w:rPr>
        <w:t>Cashier drawer opening and closing amounts.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CashierShiftId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CashierShift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iam.User.</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OpeningCash</w:t>
              <w:br/>
              <w:t>DECIMAL(14,2)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ClosingCash</w:t>
              <w:br/>
              <w:t>DECIMAL(14,2)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OpenedAt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ClosedAt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4"/>
      </w:pPr>
      <w:r>
        <w:t>A.43 payment.Voucher</w:t>
      </w:r>
    </w:p>
    <w:p>
      <w:pPr>
        <w:spacing w:before="0" w:after="60" w:line="264" w:lineRule="auto"/>
      </w:pPr>
      <w:r>
        <w:rPr>
          <w:rFonts w:ascii="Arial" w:hAnsi="Arial" w:eastAsia="Arial"/>
          <w:i w:val="0"/>
          <w:color w:val="000000"/>
          <w:sz w:val="22"/>
        </w:rPr>
        <w:t>Central voucher definition and usage limit.</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VoucherId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Voucher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Code</w:t>
              <w:br/>
              <w:t>VARCHAR(40)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code; uniqueness is enforced where declared.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DiscountType</w:t>
              <w:br/>
              <w:t>VARCHAR(8)</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DiscountValue</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MinOrderAmount</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Scope</w:t>
              <w:br/>
              <w:t>VARCHAR(8)</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chỉ dùng khi Scope = BRANCH.</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StartDate</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EndDate</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UsageLimit</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NULL = không giới hạn.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UsedCount</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IsActive</w:t>
              <w:br/>
              <w:t>BIT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Soft-active flag.</w:t>
            </w:r>
          </w:p>
        </w:tc>
      </w:tr>
    </w:tbl>
    <w:p>
      <w:pPr>
        <w:spacing w:after="60"/>
      </w:pPr>
    </w:p>
    <w:p>
      <w:pPr>
        <w:pStyle w:val="Heading4"/>
      </w:pPr>
      <w:r>
        <w:t>A.44 payment.Bill</w:t>
      </w:r>
    </w:p>
    <w:p>
      <w:pPr>
        <w:spacing w:before="0" w:after="60" w:line="264" w:lineRule="auto"/>
      </w:pPr>
      <w:r>
        <w:rPr>
          <w:rFonts w:ascii="Arial" w:hAnsi="Arial" w:eastAsia="Arial"/>
          <w:i w:val="0"/>
          <w:color w:val="000000"/>
          <w:sz w:val="22"/>
        </w:rPr>
        <w:t>Bill header supporting split/merge, payment, void, and refund.</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BillId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Bill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TableSessionId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sales.TableSession</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NULL nếu takeaway.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CashierShiftId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payment.CashierShift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Reference to payment.CashierShift.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Subtotal</w:t>
              <w:br/>
              <w:t>DECIMAL(14,2)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VatAmount</w:t>
              <w:br/>
              <w:t>DECIMAL(14,2)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DiscountAmount</w:t>
              <w:br/>
              <w:t>DECIMAL(14,2)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TotalAmount</w:t>
              <w:br/>
              <w:t>DECIMAL(14,2)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VoucherId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payment.Voucher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Voucher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10</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PaymentMethod</w:t>
              <w:br/>
              <w:t>VARCHAR(10)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Status</w:t>
              <w:br/>
              <w:t>VARCHAR(8)</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Lifecycle status constrained by the table rule.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PaidAt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13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4"/>
      </w:pPr>
      <w:r>
        <w:t>A.45 payment.BillItem</w:t>
      </w:r>
    </w:p>
    <w:p>
      <w:pPr>
        <w:spacing w:before="0" w:after="60" w:line="264" w:lineRule="auto"/>
      </w:pPr>
      <w:r>
        <w:rPr>
          <w:rFonts w:ascii="Arial" w:hAnsi="Arial" w:eastAsia="Arial"/>
          <w:i w:val="0"/>
          <w:color w:val="000000"/>
          <w:sz w:val="22"/>
        </w:rPr>
        <w:t>Assignment of an order item to exactly one bill.</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BillItemId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BillItem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BillId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payment.Bill</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Bill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OrderItemId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sales.OrderItem</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 item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Amount</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Monetary amount or price snapshot.</w:t>
            </w:r>
          </w:p>
        </w:tc>
      </w:tr>
    </w:tbl>
    <w:p>
      <w:pPr>
        <w:spacing w:after="60"/>
      </w:pPr>
    </w:p>
    <w:p>
      <w:pPr>
        <w:pStyle w:val="Heading4"/>
      </w:pPr>
      <w:r>
        <w:t>A.46 payment.VoucherRedemption</w:t>
      </w:r>
    </w:p>
    <w:p>
      <w:pPr>
        <w:spacing w:before="0" w:after="60" w:line="264" w:lineRule="auto"/>
      </w:pPr>
      <w:r>
        <w:rPr>
          <w:rFonts w:ascii="Arial" w:hAnsi="Arial" w:eastAsia="Arial"/>
          <w:i w:val="0"/>
          <w:color w:val="000000"/>
          <w:sz w:val="22"/>
        </w:rPr>
        <w:t>Voucher discount recorded when a bill is paid.</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RedemptionId</w:t>
              <w:br/>
              <w:t>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Redemption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VoucherId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payment.Voucher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Voucher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BillId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payment.Bill</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Bill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DiscountApplied</w:t>
              <w:br/>
              <w:t>DECIMAL(12,2)</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RedeemedAt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3"/>
      </w:pPr>
      <w:r>
        <w:t>A.8 ops schema</w:t>
      </w:r>
    </w:p>
    <w:p>
      <w:pPr>
        <w:pStyle w:val="Heading4"/>
      </w:pPr>
      <w:r>
        <w:t>A.47 ops.OutboxEvent</w:t>
      </w:r>
    </w:p>
    <w:p>
      <w:pPr>
        <w:spacing w:before="0" w:after="60" w:line="264" w:lineRule="auto"/>
      </w:pPr>
      <w:r>
        <w:rPr>
          <w:rFonts w:ascii="Arial" w:hAnsi="Arial" w:eastAsia="Arial"/>
          <w:i w:val="0"/>
          <w:color w:val="000000"/>
          <w:sz w:val="22"/>
        </w:rPr>
        <w:t>Transactional outbox for domain events consumed by polling/operational concerns.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EventId</w:t>
              <w:br/>
              <w:t>BIGINT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Event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EventType</w:t>
              <w:br/>
              <w:t>VARCHAR(50)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order.created, order.status_changed,.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AggregateId</w:t>
              <w:br/>
              <w:t>VARCHAR(50)</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 thực thể liên quan (OrderId, BillId...).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Payload</w:t>
              <w:br/>
              <w:t>NVARCHAR(MAX)</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JSON.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ProcessedAt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bl>
    <w:p>
      <w:pPr>
        <w:spacing w:after="60"/>
      </w:pPr>
    </w:p>
    <w:p>
      <w:pPr>
        <w:pStyle w:val="Heading4"/>
      </w:pPr>
      <w:r>
        <w:t>A.48 ops.OrderItemActionLog</w:t>
      </w:r>
    </w:p>
    <w:p>
      <w:pPr>
        <w:spacing w:before="0" w:after="60" w:line="264" w:lineRule="auto"/>
      </w:pPr>
      <w:r>
        <w:rPr>
          <w:rFonts w:ascii="Arial" w:hAnsi="Arial" w:eastAsia="Arial"/>
          <w:i w:val="0"/>
          <w:color w:val="000000"/>
          <w:sz w:val="22"/>
        </w:rPr>
        <w:t>Traceable operational audit history for order-item actions.</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OrderItemActionLogId</w:t>
              <w:br/>
              <w:t>BIGINT IDENTITY</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Identifier for OrderItemActionLog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OrderItemId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sales.OrderItem</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 item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BranchId</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org.Branch</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identifier/reference.</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04</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ActionType</w:t>
              <w:br/>
              <w:t>VARCHAR(24)</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05</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FromStatus</w:t>
              <w:br/>
              <w:t>VARCHAR(16)</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06</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ToStatus</w:t>
              <w:br/>
              <w:t>VARCHAR(16)</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07</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Reason</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08</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PerformedBy</w:t>
              <w:br/>
              <w:t>INT</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iam.User</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09</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CreatedAt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UTC creation timestamp.</w:t>
            </w:r>
          </w:p>
        </w:tc>
      </w:tr>
    </w:tbl>
    <w:p>
      <w:pPr>
        <w:spacing w:after="60"/>
      </w:pPr>
    </w:p>
    <w:p>
      <w:pPr>
        <w:pStyle w:val="Heading4"/>
      </w:pPr>
      <w:r>
        <w:t>A.49 ops.SchemaVersion</w:t>
      </w:r>
    </w:p>
    <w:p>
      <w:pPr>
        <w:spacing w:before="0" w:after="60" w:line="264" w:lineRule="auto"/>
      </w:pPr>
      <w:r>
        <w:rPr>
          <w:rFonts w:ascii="Arial" w:hAnsi="Arial" w:eastAsia="Arial"/>
          <w:i w:val="0"/>
          <w:color w:val="000000"/>
          <w:sz w:val="22"/>
        </w:rPr>
        <w:t>Idempotent migration version history.</w:t>
      </w:r>
    </w:p>
    <w:tbl>
      <w:tblPr>
        <w:tblW w:type="dxa" w:w="9360"/>
        <w:jc w:val="left"/>
        <w:tblLayout w:type="fixed"/>
        <w:tblLook w:firstColumn="1" w:firstRow="1" w:lastColumn="0" w:lastRow="0" w:noHBand="0" w:noVBand="1" w:val="04A0"/>
        <w:tblInd w:type="dxa" w:w="120"/>
      </w:tblPr>
      <w:tblGrid>
        <w:gridCol w:w="420"/>
        <w:gridCol w:w="1960"/>
        <w:gridCol w:w="390"/>
        <w:gridCol w:w="1450"/>
        <w:gridCol w:w="390"/>
        <w:gridCol w:w="390"/>
        <w:gridCol w:w="4360"/>
      </w:tblGrid>
      <w:tr>
        <w:trPr>
          <w:tblHeader w:val="true"/>
        </w:trPr>
        <w:tc>
          <w:tcPr>
            <w:tcW w:type="dxa" w:w="42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No</w:t>
            </w:r>
          </w:p>
        </w:tc>
        <w:tc>
          <w:tcPr>
            <w:tcW w:type="dxa" w:w="19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Field / Type</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PK</w:t>
            </w:r>
          </w:p>
        </w:tc>
        <w:tc>
          <w:tcPr>
            <w:tcW w:type="dxa" w:w="145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FK</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UN</w:t>
            </w:r>
          </w:p>
        </w:tc>
        <w:tc>
          <w:tcPr>
            <w:tcW w:type="dxa" w:w="39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NN</w:t>
            </w:r>
          </w:p>
        </w:tc>
        <w:tc>
          <w:tcPr>
            <w:tcW w:type="dxa" w:w="43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Description</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01</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VersionCode</w:t>
              <w:br/>
              <w:t>VARCHAR(64)</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Business attribute defined by this entity.</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02</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AppliedAt</w:t>
              <w:br/>
              <w:t>DATETIME</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Date/time business record.</w:t>
            </w:r>
          </w:p>
        </w:tc>
      </w:tr>
      <w:tr>
        <w:trPr>
          <w:cantSplit/>
        </w:trPr>
        <w:tc>
          <w:tcPr>
            <w:tcW w:type="dxa" w:w="42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03</w:t>
            </w:r>
          </w:p>
        </w:tc>
        <w:tc>
          <w:tcPr>
            <w:tcW w:type="dxa" w:w="19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Description</w:t>
              <w:br/>
              <w:t>NVARCHAR(255)</w:t>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145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r>
          </w:p>
        </w:tc>
        <w:tc>
          <w:tcPr>
            <w:tcW w:type="dxa" w:w="39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Y</w:t>
            </w:r>
          </w:p>
        </w:tc>
        <w:tc>
          <w:tcPr>
            <w:tcW w:type="dxa" w:w="43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Optional descriptive business text.</w:t>
            </w:r>
          </w:p>
        </w:tc>
      </w:tr>
    </w:tbl>
    <w:p>
      <w:pPr>
        <w:spacing w:after="60"/>
      </w:pPr>
    </w:p>
    <w:p>
      <w:r>
        <w:br w:type="page"/>
      </w:r>
    </w:p>
    <w:p>
      <w:pPr>
        <w:pStyle w:val="Heading2"/>
      </w:pPr>
      <w:r>
        <w:t>Appendix B. Route and Component Catalogue</w:t>
      </w:r>
    </w:p>
    <w:p>
      <w:pPr>
        <w:spacing w:before="0" w:after="120" w:line="264" w:lineRule="auto"/>
      </w:pPr>
      <w:r>
        <w:rPr>
          <w:rFonts w:ascii="Arial" w:hAnsi="Arial" w:eastAsia="Arial"/>
          <w:i w:val="0"/>
          <w:color w:val="000000"/>
          <w:sz w:val="22"/>
        </w:rPr>
        <w:t>The route catalogue is extracted from @WebServlet annotations in the implementation. Prefix, rather than only controller package, determines the principal user role; /qr and /home are intentionally public and are whitelisted by AuthFilter.</w:t>
      </w:r>
    </w:p>
    <w:tbl>
      <w:tblPr>
        <w:tblW w:type="dxa" w:w="9360"/>
        <w:jc w:val="left"/>
        <w:tblLayout w:type="fixed"/>
        <w:tblLook w:firstColumn="1" w:firstRow="1" w:lastColumn="0" w:lastRow="0" w:noHBand="0" w:noVBand="1" w:val="04A0"/>
        <w:tblInd w:type="dxa" w:w="120"/>
      </w:tblPr>
      <w:tblGrid>
        <w:gridCol w:w="2800"/>
        <w:gridCol w:w="2300"/>
        <w:gridCol w:w="2100"/>
        <w:gridCol w:w="2160"/>
      </w:tblGrid>
      <w:tr>
        <w:trPr>
          <w:tblHeader w:val="true"/>
        </w:trPr>
        <w:tc>
          <w:tcPr>
            <w:tcW w:type="dxa" w:w="28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Route(s)</w:t>
            </w:r>
          </w:p>
        </w:tc>
        <w:tc>
          <w:tcPr>
            <w:tcW w:type="dxa" w:w="23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Servlet</w:t>
            </w:r>
          </w:p>
        </w:tc>
        <w:tc>
          <w:tcPr>
            <w:tcW w:type="dxa" w:w="21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Package area</w:t>
            </w:r>
          </w:p>
        </w:tc>
        <w:tc>
          <w:tcPr>
            <w:tcW w:type="dxa" w:w="21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5"/>
              </w:rPr>
              <w:t>Purpose</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/admin/branch-menu</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BranchMenuServlet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/admin/branch</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/admin/category</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CategoryServlet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/dashboard</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DashboardServlet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Role-aware dashboard router</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/admin/home</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HomeAdminServlet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/admin/ingredient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IngredientServlet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/admin/modifier</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ModifierServlet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/admin/product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ProductServlet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/admin/recipe</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RecipeServlet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/admin/report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ReportServlet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/admin/user</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UserServlet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/admin/voucher</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VoucherServlet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Administration/master data</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/auth/login, /auth/logout, /auth/forgot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AuthServlet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auth</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Authentication</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/barista/dashboard</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BaristaDashboardServlet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Barista/KDS operations</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/barista/eightysix</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EightySixServlet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Barista/KDS operations</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/barista/kds</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KdsServlet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Barista/KDS operations</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/barista/shift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MyShiftServlet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Barista/KDS operations</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/cashier/handoff</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PickupServlet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Cashier/POS/payment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/barista/prep</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PrepServlet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Barista/KDS operations</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/barista/recipe</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RecipeLookupServlet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Barista/KDS operations</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/barista/handover</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ShiftHandoverServlet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Barista/KDS operations</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/barista/waste</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Barista/KDS operations</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/cashier/history</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BillHistoryServlet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Cashier/POS/payment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/cashier/dashboard</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CashierDashboardServlet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Cashier/POS/payment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/cashier/shift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CashierShiftServlet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Cashier/POS/payment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/cashier/checkout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CheckoutServlet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Cashier/POS/payment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/cashier/inbox</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OrderInboxServlet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Cashier/POS/payment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/cashier/pos</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PosServlet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Cashier/POS/payment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/cashier/table</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TableServlet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Cashier/POS/payment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/home</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HomeServlet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customer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Public home</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/qr/menu</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QrMenuServlet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customer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Anonymous QR customer</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/qr/track</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QrTrackServlet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customer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Anonymous QR customer</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/manager/attendance</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AttendanceServlet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/manager/branch-settings</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BranchSettingsServlet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/manager/inventory</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InventoryDashboardServlet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/manager/dashboard</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ManagerDashboardServlet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/manager/handover</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ManagerHandoverServlet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/manager/menu</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ManagerMenuServlet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/manager/menu-block</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MenuBlockServlet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/manager/payroll</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PayrollServlet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/manager/reconciliation</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ReconciliationServlet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/manager/shift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ShiftServlet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/manager/receipt</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StockReceiptServlet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/manager/supplier</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SupplierServlet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/manager/waste</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WasteReportServlet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manager</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Branch management</w:t>
            </w:r>
          </w:p>
        </w:tc>
      </w:tr>
      <w:tr>
        <w:trPr>
          <w:cantSplit/>
        </w:trPr>
        <w:tc>
          <w:tcPr>
            <w:tcW w:type="dxa" w:w="28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color w:val="000000"/>
                <w:sz w:val="15"/>
              </w:rPr>
              <w:t>/health</w:t>
            </w:r>
          </w:p>
        </w:tc>
        <w:tc>
          <w:tcPr>
            <w:tcW w:type="dxa" w:w="23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HealthServlet</w:t>
            </w:r>
          </w:p>
        </w:tc>
        <w:tc>
          <w:tcPr>
            <w:tcW w:type="dxa" w:w="21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shared</w:t>
            </w:r>
          </w:p>
        </w:tc>
        <w:tc>
          <w:tcPr>
            <w:tcW w:type="dxa" w:w="2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5"/>
              </w:rPr>
              <w:t>Health check</w:t>
            </w:r>
          </w:p>
        </w:tc>
      </w:tr>
    </w:tbl>
    <w:p>
      <w:pPr>
        <w:spacing w:after="60"/>
      </w:pPr>
    </w:p>
    <w:p>
      <w:pPr>
        <w:pStyle w:val="Heading3"/>
      </w:pPr>
      <w:r>
        <w:t>B.1 Verification Baseline</w:t>
      </w:r>
    </w:p>
    <w:tbl>
      <w:tblPr>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Check</w:t>
            </w:r>
          </w:p>
        </w:tc>
        <w:tc>
          <w:tcPr>
            <w:tcW w:type="dxa" w:w="7160"/>
            <w:shd w:fill="FCE4D6"/>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jc w:val="center"/>
            </w:pPr>
            <w:r>
              <w:rPr>
                <w:rFonts w:ascii="Arial" w:hAnsi="Arial" w:eastAsia="Arial"/>
                <w:b/>
                <w:color w:val="843C0C"/>
                <w:sz w:val="17"/>
              </w:rPr>
              <w:t>Result / evidence</w:t>
            </w:r>
          </w:p>
        </w:tc>
      </w:tr>
      <w:tr>
        <w:trPr>
          <w:cantSplit/>
        </w:trPr>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Build and unit tests</w:t>
            </w:r>
          </w:p>
        </w:tc>
        <w:tc>
          <w:tcPr>
            <w:tcW w:type="dxa" w:w="7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mvn clean test compiles the Java 17 WAR sources and executes the project test suite. The current baseline contains unit coverage for calculators, menu-86 validation, business-day handling, KDS/workbench rules, waste summary/scope, attendance/payroll, handover, and DAO lookup behavior.</w:t>
            </w:r>
          </w:p>
        </w:tc>
      </w:tr>
      <w:tr>
        <w:trPr>
          <w:cantSplit/>
        </w:trPr>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Coding architecture</w:t>
            </w:r>
          </w:p>
        </w:tc>
        <w:tc>
          <w:tcPr>
            <w:tcW w:type="dxa" w:w="7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Controllers, service transactions, DAO JDBC boundaries, JSP/JSTL views, filter chain, HikariCP configuration, and SQL schema are aligned with the codebase and the design rules in CLAUDE.md.</w:t>
            </w:r>
          </w:p>
        </w:tc>
      </w:tr>
      <w:tr>
        <w:trPr>
          <w:cantSplit/>
        </w:trPr>
        <w:tc>
          <w:tcPr>
            <w:tcW w:type="dxa" w:w="220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Core invariants</w:t>
            </w:r>
          </w:p>
        </w:tc>
        <w:tc>
          <w:tcPr>
            <w:tcW w:type="dxa" w:w="7160"/>
            <w:tcBorders>
              <w:top w:val="single" w:sz="6" w:space="0" w:color="000000"/>
              <w:left w:val="single" w:sz="6" w:space="0" w:color="000000"/>
              <w:bottom w:val="single" w:sz="6" w:space="0" w:color="000000"/>
              <w:right w:val="single" w:sz="6" w:space="0" w:color="000000"/>
            </w:tcBorders>
            <w:vAlign w:val="center"/>
            <w:tcMar>
              <w:top w:w="80" w:type="dxa"/>
              <w:bottom w:w="80" w:type="dxa"/>
              <w:start w:w="120" w:type="dxa"/>
              <w:end w:w="120" w:type="dxa"/>
            </w:tcMar>
          </w:tcPr>
          <w:p>
            <w:pPr>
              <w:spacing w:before="0" w:after="0" w:line="240" w:lineRule="auto"/>
            </w:pPr>
            <w:r>
              <w:rPr>
                <w:rFonts w:ascii="Arial" w:hAnsi="Arial" w:eastAsia="Arial"/>
                <w:color w:val="000000"/>
                <w:sz w:val="17"/>
              </w:rPr>
              <w:t>The SDS explicitly traces shared OrderService placement, READY-time deduction, the inventory ledger, payment double-pay guard, and table-session closure rule because these are the primary cross-module consistency points.</w:t>
            </w:r>
          </w:p>
        </w:tc>
      </w:tr>
    </w:tbl>
    <w:p>
      <w:pPr>
        <w:spacing w:after="60"/>
      </w:pP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type="dxa" w:w="0"/>
      <w:tblBorders>
        <w:top w:val="single" w:sz="8" w:space="0" w:color="000000"/>
      </w:tblBorders>
    </w:tblPr>
    <w:tblGrid>
      <w:gridCol w:w="5500"/>
      <w:gridCol w:w="3860"/>
    </w:tblGrid>
    <w:tr>
      <w:trPr/>
      <w:tc>
        <w:tcPr>
          <w:tcW w:type="dxa" w:w="5500"/>
          <w:tcMar>
            <w:top w:w="80" w:type="dxa"/>
            <w:bottom w:w="80" w:type="dxa"/>
            <w:start w:w="120" w:type="dxa"/>
            <w:end w:w="120" w:type="dxa"/>
          </w:tcMar>
          <w:vAlign w:val="center"/>
        </w:tcPr>
        <w:p>
          <w:pPr>
            <w:spacing w:before="0" w:after="0" w:line="240" w:lineRule="auto"/>
            <w:jc w:val="left"/>
          </w:pPr>
          <w:r>
            <w:rPr>
              <w:rFonts w:ascii="Arial" w:hAnsi="Arial" w:eastAsia="Arial"/>
              <w:color w:val="000000"/>
              <w:sz w:val="18"/>
            </w:rPr>
            <w:t>CafeChain - SDS Document</w:t>
          </w:r>
        </w:p>
      </w:tc>
      <w:tc>
        <w:tcPr>
          <w:tcW w:type="dxa" w:w="3860"/>
          <w:tcMar>
            <w:top w:w="80" w:type="dxa"/>
            <w:bottom w:w="80" w:type="dxa"/>
            <w:start w:w="120" w:type="dxa"/>
            <w:end w:w="120" w:type="dxa"/>
          </w:tcMar>
          <w:vAlign w:val="center"/>
        </w:tcPr>
        <w:p>
          <w:pPr>
            <w:spacing w:before="0" w:after="0" w:line="240" w:lineRule="auto"/>
            <w:jc w:val="right"/>
          </w:pPr>
          <w:r>
            <w:rPr>
              <w:rFonts w:ascii="Arial" w:hAnsi="Arial" w:eastAsia="Arial"/>
              <w:color w:val="000000"/>
              <w:sz w:val="18"/>
            </w:rPr>
            <w:t xml:space="preserve">Page </w:t>
          </w:r>
          <w:r>
            <w:fldChar w:fldCharType="begin"/>
            <w:instrText xml:space="preserve"> PAGE </w:instrText>
            <w:fldChar w:fldCharType="end"/>
          </w:r>
          <w:r>
            <w:rPr>
              <w:rFonts w:ascii="Arial" w:hAnsi="Arial" w:eastAsia="Arial"/>
              <w:color w:val="000000"/>
              <w:sz w:val="18"/>
            </w:rPr>
            <w:t xml:space="preserve"> / 40</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i w:val="0"/>
      <w:color w:val="C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CafeChain Management System - Software Design Specification</dc:title>
  <dc:subject>Software Design Specification (SDS)</dc:subject>
  <dc:creator>SWP391 Group 4</dc:creator>
  <cp:keywords>CafeChain, SDS, SWP391, software design</cp:keywords>
  <dc:description>generated by python-docx</dc:description>
  <cp:lastModifiedBy/>
  <cp:revision>1</cp:revision>
  <dcterms:created xsi:type="dcterms:W3CDTF">2013-12-23T23:15:00Z</dcterms:created>
  <dcterms:modified xsi:type="dcterms:W3CDTF">2013-12-23T23:15:00Z</dcterms:modified>
  <cp:category/>
</cp:coreProperties>
</file>