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PIDSS</w:t>
      </w:r>
    </w:p>
    <w:p>
      <w:pPr>
        <w:spacing w:after="100"/>
        <w:jc w:val="center"/>
      </w:pPr>
      <w:r>
        <w:rPr>
          <w:rFonts w:ascii="Arial" w:cs="Arial" w:eastAsia="Arial" w:hAnsi="Arial"/>
          <w:color w:val="404040"/>
          <w:sz w:val="28"/>
          <w:szCs w:val="28"/>
        </w:rPr>
        <w:t xml:space="preserve">Production Intelligence &amp; Decision Support System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Phase 1 — Domain &amp; Canonical Model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Document Version: 1.0.0</w:t>
      </w:r>
    </w:p>
    <w:p>
      <w:pPr>
        <w:spacing w:after="144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Date: 2026-02-21  |  Status: Draft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Purpose of This Document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document defines the PIDSS Phase 1 deliverables: the stable internal Domain Model and the Canonical Scenario execution format. It establishes the conceptual vocabulary and structural contracts that all downstream components — the C++ Simulator, Python Analytics engine, and .NET Platform — must adhere to.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Canonical Scenario is the single source of truth consumed by engines. It is never derived directly from a public-facing API version; the Platform adapter layer handles all schema versioning and translation.</w:t>
      </w:r>
    </w:p>
    <w:p>
      <w:pPr>
        <w:spacing w:after="8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Core Domain Concepts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following table summarises the eight fundamental concepts in PIDSS and their key design rules: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480"/>
        <w:gridCol w:w="2480"/>
      </w:tblGrid>
      <w:tr>
        <w:trPr>
          <w:tblHeader/>
        </w:trP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Concept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Identity</w:t>
            </w:r>
          </w:p>
        </w:tc>
        <w:tc>
          <w:tcPr>
            <w:tcW w:type="dxa" w:w="24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 in PIDSS</w:t>
            </w:r>
          </w:p>
        </w:tc>
        <w:tc>
          <w:tcPr>
            <w:tcW w:type="dxa" w:w="24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Rule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Process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SOP-defined transformation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Container for Stage sequence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Rarely changes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SOP step within process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Unit of KPI, bottleneck &amp; traceability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NEVER deleted or replaced — immutable identity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Work Unit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Physical execution resource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Capacity modeling unit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Equipment-centric; may cover 1..N stages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Integrated Cell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Automated multi-stage unit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Automation evaluation unit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Covers covered_stage_ids[]; preserves all stage identities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Logical process replication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Demand &amp; capacity framing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Resources NOT necessarily 1:1 with lines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Scenario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Hypothetical production config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What-if evaluation input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Versioned, includes random seed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One execution of a Scenario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Immutable artifact bundle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Append-only; identified by UUID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The Stage Identity Rule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3.1 Why Stages Are Immutable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Stages represent SOP steps — they are the unit of business traceability, A/B comparison, and bottleneck reporting. If a stage were deleted or renamed when automation is introduced, all historical comparison data would become invalid.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critical rule is: </w:t>
      </w:r>
    </w:p>
    <w:p>
      <w:pPr>
        <w:spacing w:before="80" w:after="160"/>
        <w:ind w:left="7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 Stage identity MUST NEVER be deleted, merged, or replaced — even when an automated cell covers multiple stages.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3.2 Integrated Cell — Correct Implementation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When an automated cell covers multiple stages (e.g., Pressing + Welding), the model uses an IntegratedCell Work Unit that references the existing stage IDs via </w:t>
      </w:r>
    </w:p>
    <w:p>
      <w:pPr>
        <w:spacing w:after="12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covered_stage_ids: ["stg-01-pressing", "stg-02-welding"]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original stages remain in the process definition unchanged. For KPI and bottleneck reporting, cycle time is attributed back to individual stages using the </w:t>
      </w:r>
    </w:p>
    <w:p>
      <w:pPr>
        <w:spacing w:after="12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attribution.policy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field (e.g., proportional_by_original_cycle_time). This preserves comparability between baseline and automation scenarios.</w:t>
      </w:r>
    </w:p>
    <w:p>
      <w:pPr>
        <w:spacing w:after="8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Equipment-Centric Execution Model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4.1 Work Unit Types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1800"/>
        <w:gridCol w:w="1980"/>
        <w:gridCol w:w="1780"/>
      </w:tblGrid>
      <w:tr>
        <w:trPr>
          <w:tblHeader/>
        </w:trPr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unit_type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Operator Presence</w:t>
            </w:r>
          </w:p>
        </w:tc>
        <w:tc>
          <w:tcPr>
            <w:tcW w:type="dxa" w:w="19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Stops on Break?</w:t>
            </w:r>
          </w:p>
        </w:tc>
        <w:tc>
          <w:tcPr>
            <w:tcW w:type="dxa" w:w="17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Fully human-operated bench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Required (≥1)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Assembly, Inspection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semi_auto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Machine + human coupled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Required (1)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Pressing, Welding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full_auto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Autonomous machine / integrated cell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None (0)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(continues)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 Pressing-Welding Cell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4.2 Capacity at Stage Resource Pool Level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Lines are logical replications of the process. However, resource pools (Work Units) are NOT constrained to be exactly one-per-line. For example: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Pressing &amp; Welding: exactly 7 semi-auto machines (matches 7 lines)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Manual stages: 10+ workbenches (more than 7 lines)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Arial" w:cs="Arial" w:eastAsia="Arial" w:hAnsi="Arial"/>
          <w:sz w:val="20"/>
          <w:szCs w:val="20"/>
        </w:rPr>
        <w:t xml:space="preserve">Silicon Processing: 9 machines (between lines count and manual count)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simulator must model each stage as an independent resource pool, not a fixed line-to-station mapping.</w:t>
      </w:r>
    </w:p>
    <w:p>
      <w:pPr>
        <w:spacing w:after="8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Reference Assembly Process (7 Stages)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2000"/>
        <w:gridCol w:w="2000"/>
        <w:gridCol w:w="2260"/>
      </w:tblGrid>
      <w:tr>
        <w:trPr>
          <w:tblHeader/>
        </w:trPr>
        <w:tc>
          <w:tcPr>
            <w:tcW w:type="dxa" w:w="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 Name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Cycle Time</w:t>
            </w:r>
          </w:p>
        </w:tc>
        <w:tc>
          <w:tcPr>
            <w:tcW w:type="dxa" w:w="22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Operators/Unit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Pressing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Semi-auto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6–7 sec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Welding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Semi-auto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7–8 sec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Manual Assembly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~12 sec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per bench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Manual Connection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15–17 sec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per bench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Manual Coating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15–17 sec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per bench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Silicon Processing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Semi-auto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~20 sec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Visual Inspection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~12 sec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process forms the baseline for all scenario comparisons. Stage IDs are stable identifiers used across all scenarios, runs, and KPI reports.</w:t>
      </w:r>
    </w:p>
    <w:p>
      <w:pPr>
        <w:spacing w:after="8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Batch Flow Model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6.1 Aggregate Simulation — Not Discrete Event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PIDSS uses an aggregate simulation model. There is no per-product WIP routing, no discrete-event queue, and no lot-level tracking. The unit of simulation is a batch.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6.2 Batch Flow Policy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Batch size: </w:t>
      </w:r>
      <w:r>
        <w:rPr>
          <w:rFonts w:ascii="Arial" w:cs="Arial" w:eastAsia="Arial" w:hAnsi="Arial"/>
          <w:sz w:val="20"/>
          <w:szCs w:val="20"/>
        </w:rPr>
        <w:t xml:space="preserve">600 pieces (configurable per scenario)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0"/>
          <w:szCs w:val="20"/>
        </w:rPr>
        <w:t xml:space="preserve">Transfer trigger: </w:t>
      </w:r>
      <w:r>
        <w:rPr>
          <w:rFonts w:ascii="Arial" w:cs="Arial" w:eastAsia="Arial" w:hAnsi="Arial"/>
          <w:sz w:val="20"/>
          <w:szCs w:val="20"/>
        </w:rPr>
        <w:t xml:space="preserve">full_batch_completion — a batch transfers only after all pieces in the batch complete the current stage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0"/>
          <w:szCs w:val="20"/>
        </w:rPr>
        <w:t xml:space="preserve">Transfer delay: </w:t>
      </w:r>
      <w:r>
        <w:rPr>
          <w:rFonts w:ascii="Arial" w:cs="Arial" w:eastAsia="Arial" w:hAnsi="Arial"/>
          <w:sz w:val="20"/>
          <w:szCs w:val="20"/>
        </w:rPr>
        <w:t xml:space="preserve">3–5 minutes baseline (checksheet + confirmation). Integrated cells can eliminate internal transfer delays between covered stages.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wip_tracking: false</w:t>
      </w:r>
      <w:r>
        <w:rPr>
          <w:rFonts w:ascii="Arial" w:cs="Arial" w:eastAsia="Arial" w:hAnsi="Arial"/>
          <w:sz w:val="20"/>
          <w:szCs w:val="20"/>
        </w:rPr>
        <w:t xml:space="preserve"> — no individual unit routing</w:t>
      </w:r>
    </w:p>
    <w:p>
      <w:pPr>
        <w:spacing w:after="8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Break Handling &amp; Operator Presence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planning calendar defines shift times and break windows. Break impact on production depends on the </w:t>
      </w:r>
    </w:p>
    <w:p>
      <w:pPr>
        <w:spacing w:after="12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requires_operator_presence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flag on each Work Unit: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manual and semi_auto units with requires_operator_presence = true stop during all breaks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Arial" w:cs="Arial" w:eastAsia="Arial" w:hAnsi="Arial"/>
          <w:sz w:val="20"/>
          <w:szCs w:val="20"/>
        </w:rPr>
        <w:t xml:space="preserve">full_auto integrated cells with requires_operator_presence = false continue running during breaks — this is a key throughput advantage of automation</w:t>
      </w:r>
    </w:p>
    <w:p>
      <w:pPr>
        <w:spacing w:after="8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Canonical Scenario Structure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8.1 Top-Level Fields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_meta</w:t>
      </w:r>
      <w:r>
        <w:rPr>
          <w:rFonts w:ascii="Arial" w:cs="Arial" w:eastAsia="Arial" w:hAnsi="Arial"/>
          <w:sz w:val="20"/>
          <w:szCs w:val="20"/>
        </w:rPr>
        <w:t xml:space="preserve"> — canonical version, run_id, generator info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process</w:t>
      </w:r>
      <w:r>
        <w:rPr>
          <w:rFonts w:ascii="Arial" w:cs="Arial" w:eastAsia="Arial" w:hAnsi="Arial"/>
          <w:sz w:val="20"/>
          <w:szCs w:val="20"/>
        </w:rPr>
        <w:t xml:space="preserve"> — immutable stage list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work_units</w:t>
      </w:r>
      <w:r>
        <w:rPr>
          <w:rFonts w:ascii="Arial" w:cs="Arial" w:eastAsia="Arial" w:hAnsi="Arial"/>
          <w:sz w:val="20"/>
          <w:szCs w:val="20"/>
        </w:rPr>
        <w:t xml:space="preserve"> — equipment pools per stage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integrated_cells</w:t>
      </w:r>
      <w:r>
        <w:rPr>
          <w:rFonts w:ascii="Arial" w:cs="Arial" w:eastAsia="Arial" w:hAnsi="Arial"/>
          <w:sz w:val="20"/>
          <w:szCs w:val="20"/>
        </w:rPr>
        <w:t xml:space="preserve"> — automation units covering multiple stages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flow_policy</w:t>
      </w:r>
      <w:r>
        <w:rPr>
          <w:rFonts w:ascii="Arial" w:cs="Arial" w:eastAsia="Arial" w:hAnsi="Arial"/>
          <w:sz w:val="20"/>
          <w:szCs w:val="20"/>
        </w:rPr>
        <w:t xml:space="preserve"> — batch size, transfer delay, trigger mode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planning_horizon</w:t>
      </w:r>
      <w:r>
        <w:rPr>
          <w:rFonts w:ascii="Arial" w:cs="Arial" w:eastAsia="Arial" w:hAnsi="Arial"/>
          <w:sz w:val="20"/>
          <w:szCs w:val="20"/>
        </w:rPr>
        <w:t xml:space="preserve"> — materialized start/end timestamps, target qty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planning_calendar</w:t>
      </w:r>
      <w:r>
        <w:rPr>
          <w:rFonts w:ascii="Arial" w:cs="Arial" w:eastAsia="Arial" w:hAnsi="Arial"/>
          <w:sz w:val="20"/>
          <w:szCs w:val="20"/>
        </w:rPr>
        <w:t xml:space="preserve"> — shifts, breaks, working days, break behavior policy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staffing_pool</w:t>
      </w:r>
      <w:r>
        <w:rPr>
          <w:rFonts w:ascii="Arial" w:cs="Arial" w:eastAsia="Arial" w:hAnsi="Arial"/>
          <w:sz w:val="20"/>
          <w:szCs w:val="20"/>
        </w:rPr>
        <w:t xml:space="preserve"> — total operators and allocation policy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quality_policy</w:t>
      </w:r>
      <w:r>
        <w:rPr>
          <w:rFonts w:ascii="Arial" w:cs="Arial" w:eastAsia="Arial" w:hAnsi="Arial"/>
          <w:sz w:val="20"/>
          <w:szCs w:val="20"/>
        </w:rPr>
        <w:t xml:space="preserve"> — per-stage defect rates and rework policy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cost_model</w:t>
      </w:r>
      <w:r>
        <w:rPr>
          <w:rFonts w:ascii="Arial" w:cs="Arial" w:eastAsia="Arial" w:hAnsi="Arial"/>
          <w:sz w:val="20"/>
          <w:szCs w:val="20"/>
        </w:rPr>
        <w:t xml:space="preserve"> — labor rates, overhead, CAPEX investment items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8.2 Design Invariants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Canonical Scenario must satisfy these invariants at all times: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All timestamps are materialized (no relative offsets)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No oneOf, anyOf schema branching — exactly one model shape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No legacy fields or schema_version disambiguation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Every stage_id in work_units / integrated_cells.covered_stage_ids must exist in process.stages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Arial" w:cs="Arial" w:eastAsia="Arial" w:hAnsi="Arial"/>
          <w:sz w:val="20"/>
          <w:szCs w:val="20"/>
        </w:rPr>
        <w:t xml:space="preserve">sum(attribution.stage_weights.weight) must equal 1.0 per integrated cell</w:t>
      </w:r>
    </w:p>
    <w:p>
      <w:pPr>
        <w:spacing w:after="8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Run Artifact Structure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Each Run produces an immutable, append-only artifact bundle stored under:</w:t>
      </w:r>
    </w:p>
    <w:p>
      <w:pPr>
        <w:spacing w:after="12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artifacts/{run_id}/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800"/>
        <w:gridCol w:w="3060"/>
      </w:tblGrid>
      <w:tr>
        <w:trPr>
          <w:tblHeader/>
        </w:trPr>
        <w:tc>
          <w:tcPr>
            <w:tcW w:type="dxa" w:w="3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Producer</w:t>
            </w:r>
          </w:p>
        </w:tc>
        <w:tc>
          <w:tcPr>
            <w:tcW w:type="dxa" w:w="30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scenario_snapshot.json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Platform (.NET)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Immutable copy of public input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canonical_scenario.json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Platform (.NET)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Internal execution model (this spec)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simulation_result.json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C++ Simulator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Aggregate throughput &amp; timing output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production_records.csv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C++ Simulator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Per-batch/stage production log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analysis_response.json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Python Analytics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KPI aggregates, bottleneck ranking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recommendation.json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Python Analytics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Explainable ROI, payback, strategy advice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Design Rules Summary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5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Stage identity is immutable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Ensures A/B comparison validity and SOP traceability across all scenarios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Execution is equipment-centric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Work units (not stages) define capacity; one stage may have multiple unit types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Integrated cell preserves stage IDs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covered_stage_ids[] links to existing stage_id; no new stages created, none deleted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Canonical format is stable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Engines never parse public schema version; adapter handles all translation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Aggregate simulation only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Batch-level flow; no discrete-event WIP tracking per product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Break stops operator-dependent units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requires_operator_presence drives break impact; full_auto units continue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Random seed is mandatory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Guarantees reproducibility of every run; stored in canonical and snapshot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Phase 1 Deliverables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data/contracts/canonical_scenario.example.json</w:t>
      </w:r>
      <w:r>
        <w:rPr>
          <w:rFonts w:ascii="Arial" w:cs="Arial" w:eastAsia="Arial" w:hAnsi="Arial"/>
          <w:sz w:val="20"/>
          <w:szCs w:val="20"/>
        </w:rPr>
        <w:t xml:space="preserve"> — Baseline (manual) canonical example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data/contracts/canonical_scenario_automation.example.json</w:t>
      </w:r>
      <w:r>
        <w:rPr>
          <w:rFonts w:ascii="Arial" w:cs="Arial" w:eastAsia="Arial" w:hAnsi="Arial"/>
          <w:sz w:val="20"/>
          <w:szCs w:val="20"/>
        </w:rPr>
        <w:t xml:space="preserve"> — Automation (integrated cell) canonical example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data/schemas/canonical_scenario.schema.json</w:t>
      </w:r>
      <w:r>
        <w:rPr>
          <w:rFonts w:ascii="Arial" w:cs="Arial" w:eastAsia="Arial" w:hAnsi="Arial"/>
          <w:sz w:val="20"/>
          <w:szCs w:val="20"/>
        </w:rPr>
        <w:t xml:space="preserve"> — JSON Schema Draft-07 for canonical validation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docs/phase1-domain-model.docx</w:t>
      </w:r>
      <w:r>
        <w:rPr>
          <w:rFonts w:ascii="Arial" w:cs="Arial" w:eastAsia="Arial" w:hAnsi="Arial"/>
          <w:sz w:val="20"/>
          <w:szCs w:val="20"/>
        </w:rPr>
        <w:t xml:space="preserve"> — This document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These artefacts are the stable foundation for Phase 2 (Public Contracts &amp; Schemas). The canonical format must not be modified as a result of public schema evolution; the adapter layer absorbs all versioning changes.</w:t>
      </w:r>
    </w:p>
    <w:sectPr>
      <w:foot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PIDSS — Phase 1 Domain &amp; Canonical Model  |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1"/>
      </w:pBdr>
      <w:spacing w:before="360" w:after="2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2026-02-21T09:26:44.751Z</dcterms:created>
  <dcterms:modified xsi:type="dcterms:W3CDTF">2026-02-21T09:26:44.752Z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