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F8959" w14:textId="77777777" w:rsidR="004F3305" w:rsidRPr="004F3305" w:rsidRDefault="004F3305" w:rsidP="004F3305">
      <w:pPr>
        <w:textAlignment w:val="baseline"/>
        <w:outlineLvl w:val="0"/>
        <w:rPr>
          <w:rFonts w:ascii="inherit" w:eastAsia="Times New Roman" w:hAnsi="inherit" w:cs="Times New Roman"/>
          <w:b/>
          <w:bCs/>
          <w:kern w:val="36"/>
          <w:sz w:val="48"/>
          <w:szCs w:val="48"/>
        </w:rPr>
      </w:pPr>
      <w:r w:rsidRPr="004F3305">
        <w:rPr>
          <w:rFonts w:ascii="MS Mincho" w:eastAsia="MS Mincho" w:hAnsi="MS Mincho" w:cs="MS Mincho" w:hint="eastAsia"/>
          <w:b/>
          <w:bCs/>
          <w:kern w:val="36"/>
          <w:sz w:val="48"/>
          <w:szCs w:val="48"/>
          <w:bdr w:val="none" w:sz="0" w:space="0" w:color="auto" w:frame="1"/>
        </w:rPr>
        <w:t>電気自動車などの販売台数</w:t>
      </w:r>
      <w:r w:rsidRPr="004F3305">
        <w:rPr>
          <w:rFonts w:ascii="inherit" w:eastAsia="Times New Roman" w:hAnsi="inherit" w:cs="Times New Roman"/>
          <w:b/>
          <w:bCs/>
          <w:kern w:val="36"/>
          <w:sz w:val="48"/>
          <w:szCs w:val="48"/>
          <w:bdr w:val="none" w:sz="0" w:space="0" w:color="auto" w:frame="1"/>
        </w:rPr>
        <w:t xml:space="preserve"> </w:t>
      </w:r>
      <w:r w:rsidRPr="004F3305">
        <w:rPr>
          <w:rFonts w:ascii="MS Mincho" w:eastAsia="MS Mincho" w:hAnsi="MS Mincho" w:cs="MS Mincho" w:hint="eastAsia"/>
          <w:b/>
          <w:bCs/>
          <w:kern w:val="36"/>
          <w:sz w:val="48"/>
          <w:szCs w:val="48"/>
          <w:bdr w:val="none" w:sz="0" w:space="0" w:color="auto" w:frame="1"/>
        </w:rPr>
        <w:t>前年の</w:t>
      </w:r>
      <w:r w:rsidRPr="004F3305">
        <w:rPr>
          <w:rFonts w:ascii="inherit" w:eastAsia="Times New Roman" w:hAnsi="inherit" w:cs="Times New Roman"/>
          <w:b/>
          <w:bCs/>
          <w:kern w:val="36"/>
          <w:sz w:val="48"/>
          <w:szCs w:val="48"/>
          <w:bdr w:val="none" w:sz="0" w:space="0" w:color="auto" w:frame="1"/>
        </w:rPr>
        <w:t>2</w:t>
      </w:r>
      <w:r w:rsidRPr="004F3305">
        <w:rPr>
          <w:rFonts w:ascii="MS Mincho" w:eastAsia="MS Mincho" w:hAnsi="MS Mincho" w:cs="MS Mincho" w:hint="eastAsia"/>
          <w:b/>
          <w:bCs/>
          <w:kern w:val="36"/>
          <w:sz w:val="48"/>
          <w:szCs w:val="48"/>
          <w:bdr w:val="none" w:sz="0" w:space="0" w:color="auto" w:frame="1"/>
        </w:rPr>
        <w:t>倍以上に</w:t>
      </w:r>
      <w:r w:rsidRPr="004F3305">
        <w:rPr>
          <w:rFonts w:ascii="inherit" w:eastAsia="Times New Roman" w:hAnsi="inherit" w:cs="Times New Roman"/>
          <w:b/>
          <w:bCs/>
          <w:kern w:val="36"/>
          <w:sz w:val="48"/>
          <w:szCs w:val="48"/>
          <w:bdr w:val="none" w:sz="0" w:space="0" w:color="auto" w:frame="1"/>
        </w:rPr>
        <w:t xml:space="preserve"> </w:t>
      </w:r>
      <w:r w:rsidRPr="004F3305">
        <w:rPr>
          <w:rFonts w:ascii="MS Mincho" w:eastAsia="MS Mincho" w:hAnsi="MS Mincho" w:cs="MS Mincho" w:hint="eastAsia"/>
          <w:b/>
          <w:bCs/>
          <w:kern w:val="36"/>
          <w:sz w:val="48"/>
          <w:szCs w:val="48"/>
          <w:bdr w:val="none" w:sz="0" w:space="0" w:color="auto" w:frame="1"/>
        </w:rPr>
        <w:t>中国や欧米で先</w:t>
      </w:r>
      <w:r w:rsidRPr="004F3305">
        <w:rPr>
          <w:rFonts w:ascii="MS Mincho" w:eastAsia="MS Mincho" w:hAnsi="MS Mincho" w:cs="MS Mincho"/>
          <w:b/>
          <w:bCs/>
          <w:kern w:val="36"/>
          <w:sz w:val="48"/>
          <w:szCs w:val="48"/>
          <w:bdr w:val="none" w:sz="0" w:space="0" w:color="auto" w:frame="1"/>
        </w:rPr>
        <w:t>行</w:t>
      </w:r>
    </w:p>
    <w:p w14:paraId="04B4FAA5" w14:textId="484836DF" w:rsidR="004F3305" w:rsidRDefault="004F3305" w:rsidP="004F3305">
      <w:pPr>
        <w:textAlignment w:val="baseline"/>
        <w:rPr>
          <w:rFonts w:ascii="inherit" w:eastAsia="Times New Roman" w:hAnsi="inherit" w:cs="Times New Roman"/>
          <w:color w:val="888888"/>
        </w:rPr>
      </w:pPr>
      <w:r w:rsidRPr="004F3305">
        <w:rPr>
          <w:rFonts w:ascii="inherit" w:eastAsia="Times New Roman" w:hAnsi="inherit" w:cs="Times New Roman"/>
          <w:color w:val="888888"/>
        </w:rPr>
        <w:t>2022</w:t>
      </w:r>
      <w:r w:rsidRPr="004F3305">
        <w:rPr>
          <w:rFonts w:ascii="MS Mincho" w:eastAsia="MS Mincho" w:hAnsi="MS Mincho" w:cs="MS Mincho" w:hint="eastAsia"/>
          <w:color w:val="888888"/>
        </w:rPr>
        <w:t>年</w:t>
      </w:r>
      <w:r w:rsidRPr="004F3305">
        <w:rPr>
          <w:rFonts w:ascii="inherit" w:eastAsia="Times New Roman" w:hAnsi="inherit" w:cs="Times New Roman"/>
          <w:color w:val="888888"/>
        </w:rPr>
        <w:t>5</w:t>
      </w:r>
      <w:r w:rsidRPr="004F3305">
        <w:rPr>
          <w:rFonts w:ascii="MS Mincho" w:eastAsia="MS Mincho" w:hAnsi="MS Mincho" w:cs="MS Mincho" w:hint="eastAsia"/>
          <w:color w:val="888888"/>
        </w:rPr>
        <w:t>月</w:t>
      </w:r>
      <w:r w:rsidRPr="004F3305">
        <w:rPr>
          <w:rFonts w:ascii="inherit" w:eastAsia="Times New Roman" w:hAnsi="inherit" w:cs="Times New Roman"/>
          <w:color w:val="888888"/>
        </w:rPr>
        <w:t>30</w:t>
      </w:r>
      <w:r w:rsidRPr="004F3305">
        <w:rPr>
          <w:rFonts w:ascii="MS Mincho" w:eastAsia="MS Mincho" w:hAnsi="MS Mincho" w:cs="MS Mincho" w:hint="eastAsia"/>
          <w:color w:val="888888"/>
        </w:rPr>
        <w:t>日</w:t>
      </w:r>
      <w:r w:rsidRPr="004F3305">
        <w:rPr>
          <w:rFonts w:ascii="inherit" w:eastAsia="Times New Roman" w:hAnsi="inherit" w:cs="Times New Roman"/>
          <w:color w:val="888888"/>
        </w:rPr>
        <w:t xml:space="preserve"> 5</w:t>
      </w:r>
      <w:r w:rsidRPr="004F3305">
        <w:rPr>
          <w:rFonts w:ascii="MS Mincho" w:eastAsia="MS Mincho" w:hAnsi="MS Mincho" w:cs="MS Mincho" w:hint="eastAsia"/>
          <w:color w:val="888888"/>
        </w:rPr>
        <w:t>時</w:t>
      </w:r>
      <w:r w:rsidRPr="004F3305">
        <w:rPr>
          <w:rFonts w:ascii="inherit" w:eastAsia="Times New Roman" w:hAnsi="inherit" w:cs="Times New Roman"/>
          <w:color w:val="888888"/>
        </w:rPr>
        <w:t>37</w:t>
      </w:r>
      <w:r w:rsidRPr="004F3305">
        <w:rPr>
          <w:rFonts w:ascii="MS Mincho" w:eastAsia="MS Mincho" w:hAnsi="MS Mincho" w:cs="MS Mincho"/>
          <w:color w:val="888888"/>
        </w:rPr>
        <w:t>分</w:t>
      </w:r>
      <w:r w:rsidRPr="004F3305">
        <w:rPr>
          <w:rFonts w:ascii="inherit" w:eastAsia="Times New Roman" w:hAnsi="inherit" w:cs="Times New Roman"/>
          <w:color w:val="888888"/>
        </w:rPr>
        <w:t> </w:t>
      </w:r>
    </w:p>
    <w:p w14:paraId="156DDE6F" w14:textId="77777777" w:rsidR="004F3305" w:rsidRPr="004F3305" w:rsidRDefault="004F3305" w:rsidP="004F3305">
      <w:pPr>
        <w:textAlignment w:val="baseline"/>
        <w:rPr>
          <w:rFonts w:ascii="inherit" w:eastAsia="Times New Roman" w:hAnsi="inherit" w:cs="Times New Roman"/>
          <w:color w:val="888888"/>
        </w:rPr>
      </w:pPr>
    </w:p>
    <w:p w14:paraId="2E004138" w14:textId="77777777" w:rsidR="004F3305" w:rsidRPr="004F3305" w:rsidRDefault="004F3305" w:rsidP="004F3305">
      <w:pPr>
        <w:spacing w:after="480"/>
        <w:textAlignment w:val="baseline"/>
        <w:rPr>
          <w:rFonts w:ascii="inherit" w:eastAsia="Times New Roman" w:hAnsi="inherit" w:cs="Times New Roman"/>
          <w:sz w:val="28"/>
          <w:szCs w:val="28"/>
        </w:rPr>
      </w:pPr>
      <w:r w:rsidRPr="004F3305">
        <w:rPr>
          <w:rFonts w:ascii="MS Mincho" w:eastAsia="MS Mincho" w:hAnsi="MS Mincho" w:cs="MS Mincho" w:hint="eastAsia"/>
          <w:sz w:val="28"/>
          <w:szCs w:val="28"/>
        </w:rPr>
        <w:t>去年、世界で販売された</w:t>
      </w:r>
      <w:r w:rsidRPr="004F3305">
        <w:rPr>
          <w:rFonts w:ascii="inherit" w:eastAsia="Times New Roman" w:hAnsi="inherit" w:cs="Times New Roman"/>
          <w:sz w:val="28"/>
          <w:szCs w:val="28"/>
        </w:rPr>
        <w:t>EV</w:t>
      </w:r>
      <w:r w:rsidRPr="004F3305">
        <w:rPr>
          <w:rFonts w:ascii="MS Mincho" w:eastAsia="MS Mincho" w:hAnsi="MS Mincho" w:cs="MS Mincho" w:hint="eastAsia"/>
          <w:sz w:val="28"/>
          <w:szCs w:val="28"/>
        </w:rPr>
        <w:t>＝電気自動車とプラグインハイブリッド車は、前の年の</w:t>
      </w:r>
      <w:r w:rsidRPr="004F3305">
        <w:rPr>
          <w:rFonts w:ascii="inherit" w:eastAsia="Times New Roman" w:hAnsi="inherit" w:cs="Times New Roman"/>
          <w:sz w:val="28"/>
          <w:szCs w:val="28"/>
        </w:rPr>
        <w:t>2</w:t>
      </w:r>
      <w:r w:rsidRPr="004F3305">
        <w:rPr>
          <w:rFonts w:ascii="MS Mincho" w:eastAsia="MS Mincho" w:hAnsi="MS Mincho" w:cs="MS Mincho" w:hint="eastAsia"/>
          <w:sz w:val="28"/>
          <w:szCs w:val="28"/>
        </w:rPr>
        <w:t>倍余りになったという調査結果を国際機関がまとめました。ほとんどを中国と欧米が占め、日本と比べて普及が大きく先行しています</w:t>
      </w:r>
      <w:r w:rsidRPr="004F3305">
        <w:rPr>
          <w:rFonts w:ascii="MS Mincho" w:eastAsia="MS Mincho" w:hAnsi="MS Mincho" w:cs="MS Mincho"/>
          <w:sz w:val="28"/>
          <w:szCs w:val="28"/>
        </w:rPr>
        <w:t>。</w:t>
      </w:r>
    </w:p>
    <w:p w14:paraId="5AD2BA70" w14:textId="77777777" w:rsidR="004F3305" w:rsidRPr="004F3305" w:rsidRDefault="004F3305" w:rsidP="004F3305">
      <w:pPr>
        <w:spacing w:after="480"/>
        <w:textAlignment w:val="baseline"/>
        <w:rPr>
          <w:rFonts w:ascii="inherit" w:eastAsia="Times New Roman" w:hAnsi="inherit" w:cs="Times New Roman"/>
          <w:sz w:val="28"/>
          <w:szCs w:val="28"/>
        </w:rPr>
      </w:pPr>
      <w:r w:rsidRPr="004F3305">
        <w:rPr>
          <w:rFonts w:ascii="inherit" w:eastAsia="Times New Roman" w:hAnsi="inherit" w:cs="Times New Roman"/>
          <w:sz w:val="28"/>
          <w:szCs w:val="28"/>
        </w:rPr>
        <w:t>IEA</w:t>
      </w:r>
      <w:r w:rsidRPr="004F3305">
        <w:rPr>
          <w:rFonts w:ascii="MS Mincho" w:eastAsia="MS Mincho" w:hAnsi="MS Mincho" w:cs="MS Mincho" w:hint="eastAsia"/>
          <w:sz w:val="28"/>
          <w:szCs w:val="28"/>
        </w:rPr>
        <w:t>＝国際エネルギー機関が今月公表した報告書によりますと、去年、世界で販売された</w:t>
      </w:r>
      <w:r w:rsidRPr="004F3305">
        <w:rPr>
          <w:rFonts w:ascii="inherit" w:eastAsia="Times New Roman" w:hAnsi="inherit" w:cs="Times New Roman"/>
          <w:sz w:val="28"/>
          <w:szCs w:val="28"/>
        </w:rPr>
        <w:t>EV</w:t>
      </w:r>
      <w:r w:rsidRPr="004F3305">
        <w:rPr>
          <w:rFonts w:ascii="MS Mincho" w:eastAsia="MS Mincho" w:hAnsi="MS Mincho" w:cs="MS Mincho" w:hint="eastAsia"/>
          <w:sz w:val="28"/>
          <w:szCs w:val="28"/>
        </w:rPr>
        <w:t>と外部から充電できるプラグインハイブリッド車は、合わせておよそ</w:t>
      </w:r>
      <w:r w:rsidRPr="004F3305">
        <w:rPr>
          <w:rFonts w:ascii="inherit" w:eastAsia="Times New Roman" w:hAnsi="inherit" w:cs="Times New Roman"/>
          <w:sz w:val="28"/>
          <w:szCs w:val="28"/>
        </w:rPr>
        <w:t>660</w:t>
      </w:r>
      <w:r w:rsidRPr="004F3305">
        <w:rPr>
          <w:rFonts w:ascii="MS Mincho" w:eastAsia="MS Mincho" w:hAnsi="MS Mincho" w:cs="MS Mincho" w:hint="eastAsia"/>
          <w:sz w:val="28"/>
          <w:szCs w:val="28"/>
        </w:rPr>
        <w:t>万台でした。</w:t>
      </w:r>
      <w:r w:rsidRPr="004F3305">
        <w:rPr>
          <w:rFonts w:ascii="inherit" w:eastAsia="Times New Roman" w:hAnsi="inherit" w:cs="Times New Roman"/>
          <w:sz w:val="28"/>
          <w:szCs w:val="28"/>
        </w:rPr>
        <w:br/>
      </w:r>
      <w:r w:rsidRPr="004F3305">
        <w:rPr>
          <w:rFonts w:ascii="inherit" w:eastAsia="Times New Roman" w:hAnsi="inherit" w:cs="Times New Roman"/>
          <w:sz w:val="28"/>
          <w:szCs w:val="28"/>
        </w:rPr>
        <w:br/>
      </w:r>
      <w:r w:rsidRPr="004F3305">
        <w:rPr>
          <w:rFonts w:ascii="MS Mincho" w:eastAsia="MS Mincho" w:hAnsi="MS Mincho" w:cs="MS Mincho" w:hint="eastAsia"/>
          <w:sz w:val="28"/>
          <w:szCs w:val="28"/>
        </w:rPr>
        <w:t>前の年の</w:t>
      </w:r>
      <w:r w:rsidRPr="004F3305">
        <w:rPr>
          <w:rFonts w:ascii="inherit" w:eastAsia="Times New Roman" w:hAnsi="inherit" w:cs="Times New Roman"/>
          <w:sz w:val="28"/>
          <w:szCs w:val="28"/>
        </w:rPr>
        <w:t>2.2</w:t>
      </w:r>
      <w:r w:rsidRPr="004F3305">
        <w:rPr>
          <w:rFonts w:ascii="MS Mincho" w:eastAsia="MS Mincho" w:hAnsi="MS Mincho" w:cs="MS Mincho" w:hint="eastAsia"/>
          <w:sz w:val="28"/>
          <w:szCs w:val="28"/>
        </w:rPr>
        <w:t>倍で新車販売全体に占める割合はおよそ</w:t>
      </w:r>
      <w:r w:rsidRPr="004F3305">
        <w:rPr>
          <w:rFonts w:ascii="inherit" w:eastAsia="Times New Roman" w:hAnsi="inherit" w:cs="Times New Roman"/>
          <w:sz w:val="28"/>
          <w:szCs w:val="28"/>
        </w:rPr>
        <w:t>9</w:t>
      </w:r>
      <w:r w:rsidRPr="004F3305">
        <w:rPr>
          <w:rFonts w:ascii="MS Mincho" w:eastAsia="MS Mincho" w:hAnsi="MS Mincho" w:cs="MS Mincho" w:hint="eastAsia"/>
          <w:sz w:val="28"/>
          <w:szCs w:val="28"/>
        </w:rPr>
        <w:t>％だとしています。</w:t>
      </w:r>
      <w:r w:rsidRPr="004F3305">
        <w:rPr>
          <w:rFonts w:ascii="inherit" w:eastAsia="Times New Roman" w:hAnsi="inherit" w:cs="Times New Roman"/>
          <w:sz w:val="28"/>
          <w:szCs w:val="28"/>
        </w:rPr>
        <w:br/>
      </w:r>
      <w:r w:rsidRPr="004F3305">
        <w:rPr>
          <w:rFonts w:ascii="inherit" w:eastAsia="Times New Roman" w:hAnsi="inherit" w:cs="Times New Roman"/>
          <w:sz w:val="28"/>
          <w:szCs w:val="28"/>
        </w:rPr>
        <w:br/>
      </w:r>
      <w:r w:rsidRPr="004F3305">
        <w:rPr>
          <w:rFonts w:ascii="MS Mincho" w:eastAsia="MS Mincho" w:hAnsi="MS Mincho" w:cs="MS Mincho" w:hint="eastAsia"/>
          <w:sz w:val="28"/>
          <w:szCs w:val="28"/>
        </w:rPr>
        <w:t>国別では中国が</w:t>
      </w:r>
      <w:r w:rsidRPr="004F3305">
        <w:rPr>
          <w:rFonts w:ascii="inherit" w:eastAsia="Times New Roman" w:hAnsi="inherit" w:cs="Times New Roman"/>
          <w:sz w:val="28"/>
          <w:szCs w:val="28"/>
        </w:rPr>
        <w:t>333</w:t>
      </w:r>
      <w:r w:rsidRPr="004F3305">
        <w:rPr>
          <w:rFonts w:ascii="MS Mincho" w:eastAsia="MS Mincho" w:hAnsi="MS Mincho" w:cs="MS Mincho" w:hint="eastAsia"/>
          <w:sz w:val="28"/>
          <w:szCs w:val="28"/>
        </w:rPr>
        <w:t>万台で前の年のおよそ</w:t>
      </w:r>
      <w:r w:rsidRPr="004F3305">
        <w:rPr>
          <w:rFonts w:ascii="inherit" w:eastAsia="Times New Roman" w:hAnsi="inherit" w:cs="Times New Roman"/>
          <w:sz w:val="28"/>
          <w:szCs w:val="28"/>
        </w:rPr>
        <w:t>2.9</w:t>
      </w:r>
      <w:r w:rsidRPr="004F3305">
        <w:rPr>
          <w:rFonts w:ascii="MS Mincho" w:eastAsia="MS Mincho" w:hAnsi="MS Mincho" w:cs="MS Mincho" w:hint="eastAsia"/>
          <w:sz w:val="28"/>
          <w:szCs w:val="28"/>
        </w:rPr>
        <w:t>倍、アメリカが</w:t>
      </w:r>
      <w:r w:rsidRPr="004F3305">
        <w:rPr>
          <w:rFonts w:ascii="inherit" w:eastAsia="Times New Roman" w:hAnsi="inherit" w:cs="Times New Roman"/>
          <w:sz w:val="28"/>
          <w:szCs w:val="28"/>
        </w:rPr>
        <w:t>63</w:t>
      </w:r>
      <w:r w:rsidRPr="004F3305">
        <w:rPr>
          <w:rFonts w:ascii="MS Mincho" w:eastAsia="MS Mincho" w:hAnsi="MS Mincho" w:cs="MS Mincho" w:hint="eastAsia"/>
          <w:sz w:val="28"/>
          <w:szCs w:val="28"/>
        </w:rPr>
        <w:t>万台でおよそ</w:t>
      </w:r>
      <w:r w:rsidRPr="004F3305">
        <w:rPr>
          <w:rFonts w:ascii="inherit" w:eastAsia="Times New Roman" w:hAnsi="inherit" w:cs="Times New Roman"/>
          <w:sz w:val="28"/>
          <w:szCs w:val="28"/>
        </w:rPr>
        <w:t>2.1</w:t>
      </w:r>
      <w:r w:rsidRPr="004F3305">
        <w:rPr>
          <w:rFonts w:ascii="MS Mincho" w:eastAsia="MS Mincho" w:hAnsi="MS Mincho" w:cs="MS Mincho" w:hint="eastAsia"/>
          <w:sz w:val="28"/>
          <w:szCs w:val="28"/>
        </w:rPr>
        <w:t>倍、ドイツが</w:t>
      </w:r>
      <w:r w:rsidRPr="004F3305">
        <w:rPr>
          <w:rFonts w:ascii="inherit" w:eastAsia="Times New Roman" w:hAnsi="inherit" w:cs="Times New Roman"/>
          <w:sz w:val="28"/>
          <w:szCs w:val="28"/>
        </w:rPr>
        <w:t>68</w:t>
      </w:r>
      <w:r w:rsidRPr="004F3305">
        <w:rPr>
          <w:rFonts w:ascii="MS Mincho" w:eastAsia="MS Mincho" w:hAnsi="MS Mincho" w:cs="MS Mincho" w:hint="eastAsia"/>
          <w:sz w:val="28"/>
          <w:szCs w:val="28"/>
        </w:rPr>
        <w:t>万台でおよそ</w:t>
      </w:r>
      <w:r w:rsidRPr="004F3305">
        <w:rPr>
          <w:rFonts w:ascii="inherit" w:eastAsia="Times New Roman" w:hAnsi="inherit" w:cs="Times New Roman"/>
          <w:sz w:val="28"/>
          <w:szCs w:val="28"/>
        </w:rPr>
        <w:t>1.7</w:t>
      </w:r>
      <w:r w:rsidRPr="004F3305">
        <w:rPr>
          <w:rFonts w:ascii="MS Mincho" w:eastAsia="MS Mincho" w:hAnsi="MS Mincho" w:cs="MS Mincho" w:hint="eastAsia"/>
          <w:sz w:val="28"/>
          <w:szCs w:val="28"/>
        </w:rPr>
        <w:t>倍、イギリスが</w:t>
      </w:r>
      <w:r w:rsidRPr="004F3305">
        <w:rPr>
          <w:rFonts w:ascii="inherit" w:eastAsia="Times New Roman" w:hAnsi="inherit" w:cs="Times New Roman"/>
          <w:sz w:val="28"/>
          <w:szCs w:val="28"/>
        </w:rPr>
        <w:t>31</w:t>
      </w:r>
      <w:r w:rsidRPr="004F3305">
        <w:rPr>
          <w:rFonts w:ascii="MS Mincho" w:eastAsia="MS Mincho" w:hAnsi="MS Mincho" w:cs="MS Mincho" w:hint="eastAsia"/>
          <w:sz w:val="28"/>
          <w:szCs w:val="28"/>
        </w:rPr>
        <w:t>万台でおよそ</w:t>
      </w:r>
      <w:r w:rsidRPr="004F3305">
        <w:rPr>
          <w:rFonts w:ascii="inherit" w:eastAsia="Times New Roman" w:hAnsi="inherit" w:cs="Times New Roman"/>
          <w:sz w:val="28"/>
          <w:szCs w:val="28"/>
        </w:rPr>
        <w:t>1.8</w:t>
      </w:r>
      <w:r w:rsidRPr="004F3305">
        <w:rPr>
          <w:rFonts w:ascii="MS Mincho" w:eastAsia="MS Mincho" w:hAnsi="MS Mincho" w:cs="MS Mincho" w:hint="eastAsia"/>
          <w:sz w:val="28"/>
          <w:szCs w:val="28"/>
        </w:rPr>
        <w:t>倍、フランスが</w:t>
      </w:r>
      <w:r w:rsidRPr="004F3305">
        <w:rPr>
          <w:rFonts w:ascii="inherit" w:eastAsia="Times New Roman" w:hAnsi="inherit" w:cs="Times New Roman"/>
          <w:sz w:val="28"/>
          <w:szCs w:val="28"/>
        </w:rPr>
        <w:t>30</w:t>
      </w:r>
      <w:r w:rsidRPr="004F3305">
        <w:rPr>
          <w:rFonts w:ascii="MS Mincho" w:eastAsia="MS Mincho" w:hAnsi="MS Mincho" w:cs="MS Mincho" w:hint="eastAsia"/>
          <w:sz w:val="28"/>
          <w:szCs w:val="28"/>
        </w:rPr>
        <w:t>万台でおよそ</w:t>
      </w:r>
      <w:r w:rsidRPr="004F3305">
        <w:rPr>
          <w:rFonts w:ascii="inherit" w:eastAsia="Times New Roman" w:hAnsi="inherit" w:cs="Times New Roman"/>
          <w:sz w:val="28"/>
          <w:szCs w:val="28"/>
        </w:rPr>
        <w:t>1.7</w:t>
      </w:r>
      <w:r w:rsidRPr="004F3305">
        <w:rPr>
          <w:rFonts w:ascii="MS Mincho" w:eastAsia="MS Mincho" w:hAnsi="MS Mincho" w:cs="MS Mincho" w:hint="eastAsia"/>
          <w:sz w:val="28"/>
          <w:szCs w:val="28"/>
        </w:rPr>
        <w:t>倍でした。</w:t>
      </w:r>
      <w:r w:rsidRPr="004F3305">
        <w:rPr>
          <w:rFonts w:ascii="inherit" w:eastAsia="Times New Roman" w:hAnsi="inherit" w:cs="Times New Roman"/>
          <w:sz w:val="28"/>
          <w:szCs w:val="28"/>
        </w:rPr>
        <w:br/>
      </w:r>
      <w:r w:rsidRPr="004F3305">
        <w:rPr>
          <w:rFonts w:ascii="inherit" w:eastAsia="Times New Roman" w:hAnsi="inherit" w:cs="Times New Roman"/>
          <w:sz w:val="28"/>
          <w:szCs w:val="28"/>
        </w:rPr>
        <w:br/>
      </w:r>
      <w:r w:rsidRPr="004F3305">
        <w:rPr>
          <w:rFonts w:ascii="MS Mincho" w:eastAsia="MS Mincho" w:hAnsi="MS Mincho" w:cs="MS Mincho" w:hint="eastAsia"/>
          <w:sz w:val="28"/>
          <w:szCs w:val="28"/>
        </w:rPr>
        <w:t>一方、日本は</w:t>
      </w:r>
      <w:r w:rsidRPr="004F3305">
        <w:rPr>
          <w:rFonts w:ascii="inherit" w:eastAsia="Times New Roman" w:hAnsi="inherit" w:cs="Times New Roman"/>
          <w:sz w:val="28"/>
          <w:szCs w:val="28"/>
        </w:rPr>
        <w:t>1.5</w:t>
      </w:r>
      <w:r w:rsidRPr="004F3305">
        <w:rPr>
          <w:rFonts w:ascii="MS Mincho" w:eastAsia="MS Mincho" w:hAnsi="MS Mincho" w:cs="MS Mincho" w:hint="eastAsia"/>
          <w:sz w:val="28"/>
          <w:szCs w:val="28"/>
        </w:rPr>
        <w:t>倍に増えたものの</w:t>
      </w:r>
      <w:r w:rsidRPr="004F3305">
        <w:rPr>
          <w:rFonts w:ascii="inherit" w:eastAsia="Times New Roman" w:hAnsi="inherit" w:cs="Times New Roman"/>
          <w:sz w:val="28"/>
          <w:szCs w:val="28"/>
        </w:rPr>
        <w:t>4</w:t>
      </w:r>
      <w:r w:rsidRPr="004F3305">
        <w:rPr>
          <w:rFonts w:ascii="MS Mincho" w:eastAsia="MS Mincho" w:hAnsi="MS Mincho" w:cs="MS Mincho" w:hint="eastAsia"/>
          <w:sz w:val="28"/>
          <w:szCs w:val="28"/>
        </w:rPr>
        <w:t>万</w:t>
      </w:r>
      <w:r w:rsidRPr="004F3305">
        <w:rPr>
          <w:rFonts w:ascii="inherit" w:eastAsia="Times New Roman" w:hAnsi="inherit" w:cs="Times New Roman"/>
          <w:sz w:val="28"/>
          <w:szCs w:val="28"/>
        </w:rPr>
        <w:t>4000</w:t>
      </w:r>
      <w:r w:rsidRPr="004F3305">
        <w:rPr>
          <w:rFonts w:ascii="MS Mincho" w:eastAsia="MS Mincho" w:hAnsi="MS Mincho" w:cs="MS Mincho" w:hint="eastAsia"/>
          <w:sz w:val="28"/>
          <w:szCs w:val="28"/>
        </w:rPr>
        <w:t>台にとどまり、中国や欧米での普及が大きく先行する構図が鮮明になっています。</w:t>
      </w:r>
      <w:r w:rsidRPr="004F3305">
        <w:rPr>
          <w:rFonts w:ascii="inherit" w:eastAsia="Times New Roman" w:hAnsi="inherit" w:cs="Times New Roman"/>
          <w:sz w:val="28"/>
          <w:szCs w:val="28"/>
        </w:rPr>
        <w:br/>
      </w:r>
      <w:r w:rsidRPr="004F3305">
        <w:rPr>
          <w:rFonts w:ascii="inherit" w:eastAsia="Times New Roman" w:hAnsi="inherit" w:cs="Times New Roman"/>
          <w:sz w:val="28"/>
          <w:szCs w:val="28"/>
        </w:rPr>
        <w:br/>
      </w:r>
      <w:r w:rsidRPr="004F3305">
        <w:rPr>
          <w:rFonts w:ascii="MS Mincho" w:eastAsia="MS Mincho" w:hAnsi="MS Mincho" w:cs="MS Mincho" w:hint="eastAsia"/>
          <w:sz w:val="28"/>
          <w:szCs w:val="28"/>
        </w:rPr>
        <w:t>要因について</w:t>
      </w:r>
      <w:r w:rsidRPr="004F3305">
        <w:rPr>
          <w:rFonts w:ascii="inherit" w:eastAsia="Times New Roman" w:hAnsi="inherit" w:cs="Times New Roman"/>
          <w:sz w:val="28"/>
          <w:szCs w:val="28"/>
        </w:rPr>
        <w:t>IEA</w:t>
      </w:r>
      <w:r w:rsidRPr="004F3305">
        <w:rPr>
          <w:rFonts w:ascii="MS Mincho" w:eastAsia="MS Mincho" w:hAnsi="MS Mincho" w:cs="MS Mincho" w:hint="eastAsia"/>
          <w:sz w:val="28"/>
          <w:szCs w:val="28"/>
        </w:rPr>
        <w:t>は、各国でガソリン車の新車販売を段階的に減らしたり将来的に禁止したりする方針が打ち出されたことに加え、補助金制度が大幅に拡充されたことを挙げています</w:t>
      </w:r>
      <w:r w:rsidRPr="004F3305">
        <w:rPr>
          <w:rFonts w:ascii="MS Mincho" w:eastAsia="MS Mincho" w:hAnsi="MS Mincho" w:cs="MS Mincho"/>
          <w:sz w:val="28"/>
          <w:szCs w:val="28"/>
        </w:rPr>
        <w:t>。</w:t>
      </w:r>
    </w:p>
    <w:p w14:paraId="61474442" w14:textId="32FAFE80" w:rsidR="004F3305" w:rsidRPr="004F3305" w:rsidRDefault="004F3305" w:rsidP="004F3305">
      <w:pPr>
        <w:textAlignment w:val="baseline"/>
        <w:rPr>
          <w:rFonts w:ascii="Times New Roman" w:eastAsia="Times New Roman" w:hAnsi="Times New Roman" w:cs="Times New Roman"/>
        </w:rPr>
      </w:pPr>
    </w:p>
    <w:p w14:paraId="0612958F" w14:textId="77777777" w:rsidR="004F3305" w:rsidRPr="004F3305" w:rsidRDefault="004F3305" w:rsidP="004F3305">
      <w:pPr>
        <w:textAlignment w:val="baseline"/>
        <w:rPr>
          <w:rFonts w:ascii="inherit" w:eastAsia="Times New Roman" w:hAnsi="inherit" w:cs="Times New Roman"/>
        </w:rPr>
      </w:pPr>
      <w:r w:rsidRPr="004F3305">
        <w:rPr>
          <w:rFonts w:ascii="MS Mincho" w:eastAsia="MS Mincho" w:hAnsi="MS Mincho" w:cs="MS Mincho" w:hint="eastAsia"/>
        </w:rPr>
        <w:t>業界に詳しい伊藤忠総研の深尾三四郎</w:t>
      </w:r>
      <w:r w:rsidRPr="004F3305">
        <w:rPr>
          <w:rFonts w:ascii="inherit" w:eastAsia="Times New Roman" w:hAnsi="inherit" w:cs="Times New Roman"/>
        </w:rPr>
        <w:t xml:space="preserve"> </w:t>
      </w:r>
      <w:r w:rsidRPr="004F3305">
        <w:rPr>
          <w:rFonts w:ascii="MS Mincho" w:eastAsia="MS Mincho" w:hAnsi="MS Mincho" w:cs="MS Mincho" w:hint="eastAsia"/>
        </w:rPr>
        <w:t>上席主任研究員は「</w:t>
      </w:r>
      <w:r w:rsidRPr="004F3305">
        <w:rPr>
          <w:rFonts w:ascii="inherit" w:eastAsia="Times New Roman" w:hAnsi="inherit" w:cs="Times New Roman"/>
        </w:rPr>
        <w:t>EV</w:t>
      </w:r>
      <w:r w:rsidRPr="004F3305">
        <w:rPr>
          <w:rFonts w:ascii="MS Mincho" w:eastAsia="MS Mincho" w:hAnsi="MS Mincho" w:cs="MS Mincho" w:hint="eastAsia"/>
        </w:rPr>
        <w:t>は中古車として下取りに出しても価格が比較的高いため、新車で購入する人が増えている。日本でも同じ状況になるかが普及に向けて重要だ」と指摘しています</w:t>
      </w:r>
      <w:r w:rsidRPr="004F3305">
        <w:rPr>
          <w:rFonts w:ascii="MS Mincho" w:eastAsia="MS Mincho" w:hAnsi="MS Mincho" w:cs="MS Mincho"/>
        </w:rPr>
        <w:t>。</w:t>
      </w:r>
    </w:p>
    <w:p w14:paraId="0C1B4E3E" w14:textId="77777777" w:rsidR="00CE6B35" w:rsidRDefault="00CE6B35"/>
    <w:sectPr w:rsidR="00CE6B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05"/>
    <w:rsid w:val="004F3305"/>
    <w:rsid w:val="00CE6B35"/>
  </w:rsids>
  <m:mathPr>
    <m:mathFont m:val="Cambria Math"/>
    <m:brkBin m:val="before"/>
    <m:brkBinSub m:val="--"/>
    <m:smallFrac m:val="0"/>
    <m:dispDef/>
    <m:lMargin m:val="0"/>
    <m:rMargin m:val="0"/>
    <m:defJc m:val="centerGroup"/>
    <m:wrapIndent m:val="1440"/>
    <m:intLim m:val="subSup"/>
    <m:naryLim m:val="undOvr"/>
  </m:mathPr>
  <w:themeFontLang w:val="en-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FA7EDFD"/>
  <w15:chartTrackingRefBased/>
  <w15:docId w15:val="{84AE8348-292C-C94C-A301-01AAB5F8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33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330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3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3305"/>
    <w:rPr>
      <w:rFonts w:ascii="Times New Roman" w:eastAsia="Times New Roman" w:hAnsi="Times New Roman" w:cs="Times New Roman"/>
      <w:b/>
      <w:bCs/>
      <w:sz w:val="36"/>
      <w:szCs w:val="36"/>
    </w:rPr>
  </w:style>
  <w:style w:type="paragraph" w:customStyle="1" w:styleId="content--date">
    <w:name w:val="content--date"/>
    <w:basedOn w:val="Normal"/>
    <w:rsid w:val="004F33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F3305"/>
    <w:rPr>
      <w:color w:val="0000FF"/>
      <w:u w:val="single"/>
    </w:rPr>
  </w:style>
  <w:style w:type="paragraph" w:customStyle="1" w:styleId="content--summary">
    <w:name w:val="content--summary"/>
    <w:basedOn w:val="Normal"/>
    <w:rsid w:val="004F3305"/>
    <w:pPr>
      <w:spacing w:before="100" w:beforeAutospacing="1" w:after="100" w:afterAutospacing="1"/>
    </w:pPr>
    <w:rPr>
      <w:rFonts w:ascii="Times New Roman" w:eastAsia="Times New Roman" w:hAnsi="Times New Roman" w:cs="Times New Roman"/>
    </w:rPr>
  </w:style>
  <w:style w:type="paragraph" w:customStyle="1" w:styleId="content--summary-more">
    <w:name w:val="content--summary-more"/>
    <w:basedOn w:val="Normal"/>
    <w:rsid w:val="004F33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4047">
      <w:bodyDiv w:val="1"/>
      <w:marLeft w:val="0"/>
      <w:marRight w:val="0"/>
      <w:marTop w:val="0"/>
      <w:marBottom w:val="0"/>
      <w:divBdr>
        <w:top w:val="none" w:sz="0" w:space="0" w:color="auto"/>
        <w:left w:val="none" w:sz="0" w:space="0" w:color="auto"/>
        <w:bottom w:val="none" w:sz="0" w:space="0" w:color="auto"/>
        <w:right w:val="none" w:sz="0" w:space="0" w:color="auto"/>
      </w:divBdr>
      <w:divsChild>
        <w:div w:id="1055618097">
          <w:marLeft w:val="0"/>
          <w:marRight w:val="0"/>
          <w:marTop w:val="0"/>
          <w:marBottom w:val="0"/>
          <w:divBdr>
            <w:top w:val="none" w:sz="0" w:space="0" w:color="auto"/>
            <w:left w:val="none" w:sz="0" w:space="0" w:color="auto"/>
            <w:bottom w:val="none" w:sz="0" w:space="0" w:color="auto"/>
            <w:right w:val="none" w:sz="0" w:space="0" w:color="auto"/>
          </w:divBdr>
        </w:div>
        <w:div w:id="1469980948">
          <w:marLeft w:val="0"/>
          <w:marRight w:val="0"/>
          <w:marTop w:val="0"/>
          <w:marBottom w:val="0"/>
          <w:divBdr>
            <w:top w:val="none" w:sz="0" w:space="0" w:color="auto"/>
            <w:left w:val="none" w:sz="0" w:space="0" w:color="auto"/>
            <w:bottom w:val="none" w:sz="0" w:space="0" w:color="auto"/>
            <w:right w:val="none" w:sz="0" w:space="0" w:color="auto"/>
          </w:divBdr>
          <w:divsChild>
            <w:div w:id="1874727669">
              <w:marLeft w:val="0"/>
              <w:marRight w:val="0"/>
              <w:marTop w:val="0"/>
              <w:marBottom w:val="0"/>
              <w:divBdr>
                <w:top w:val="none" w:sz="0" w:space="0" w:color="auto"/>
                <w:left w:val="none" w:sz="0" w:space="0" w:color="auto"/>
                <w:bottom w:val="none" w:sz="0" w:space="0" w:color="auto"/>
                <w:right w:val="none" w:sz="0" w:space="0" w:color="auto"/>
              </w:divBdr>
              <w:divsChild>
                <w:div w:id="761921946">
                  <w:marLeft w:val="0"/>
                  <w:marRight w:val="0"/>
                  <w:marTop w:val="0"/>
                  <w:marBottom w:val="0"/>
                  <w:divBdr>
                    <w:top w:val="none" w:sz="0" w:space="0" w:color="auto"/>
                    <w:left w:val="none" w:sz="0" w:space="0" w:color="auto"/>
                    <w:bottom w:val="none" w:sz="0" w:space="0" w:color="auto"/>
                    <w:right w:val="none" w:sz="0" w:space="0" w:color="auto"/>
                  </w:divBdr>
                </w:div>
                <w:div w:id="1755130821">
                  <w:marLeft w:val="0"/>
                  <w:marRight w:val="0"/>
                  <w:marTop w:val="0"/>
                  <w:marBottom w:val="0"/>
                  <w:divBdr>
                    <w:top w:val="none" w:sz="0" w:space="0" w:color="auto"/>
                    <w:left w:val="none" w:sz="0" w:space="0" w:color="auto"/>
                    <w:bottom w:val="none" w:sz="0" w:space="0" w:color="auto"/>
                    <w:right w:val="none" w:sz="0" w:space="0" w:color="auto"/>
                  </w:divBdr>
                </w:div>
                <w:div w:id="808786094">
                  <w:marLeft w:val="0"/>
                  <w:marRight w:val="0"/>
                  <w:marTop w:val="0"/>
                  <w:marBottom w:val="0"/>
                  <w:divBdr>
                    <w:top w:val="none" w:sz="0" w:space="0" w:color="auto"/>
                    <w:left w:val="none" w:sz="0" w:space="0" w:color="auto"/>
                    <w:bottom w:val="none" w:sz="0" w:space="0" w:color="auto"/>
                    <w:right w:val="none" w:sz="0" w:space="0" w:color="auto"/>
                  </w:divBdr>
                </w:div>
                <w:div w:id="16433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4538">
      <w:bodyDiv w:val="1"/>
      <w:marLeft w:val="0"/>
      <w:marRight w:val="0"/>
      <w:marTop w:val="0"/>
      <w:marBottom w:val="0"/>
      <w:divBdr>
        <w:top w:val="none" w:sz="0" w:space="0" w:color="auto"/>
        <w:left w:val="none" w:sz="0" w:space="0" w:color="auto"/>
        <w:bottom w:val="none" w:sz="0" w:space="0" w:color="auto"/>
        <w:right w:val="none" w:sz="0" w:space="0" w:color="auto"/>
      </w:divBdr>
      <w:divsChild>
        <w:div w:id="1647510669">
          <w:marLeft w:val="0"/>
          <w:marRight w:val="0"/>
          <w:marTop w:val="0"/>
          <w:marBottom w:val="0"/>
          <w:divBdr>
            <w:top w:val="none" w:sz="0" w:space="0" w:color="auto"/>
            <w:left w:val="none" w:sz="0" w:space="0" w:color="auto"/>
            <w:bottom w:val="none" w:sz="0" w:space="0" w:color="auto"/>
            <w:right w:val="none" w:sz="0" w:space="0" w:color="auto"/>
          </w:divBdr>
        </w:div>
        <w:div w:id="69042086">
          <w:marLeft w:val="0"/>
          <w:marRight w:val="0"/>
          <w:marTop w:val="0"/>
          <w:marBottom w:val="0"/>
          <w:divBdr>
            <w:top w:val="none" w:sz="0" w:space="0" w:color="auto"/>
            <w:left w:val="none" w:sz="0" w:space="0" w:color="auto"/>
            <w:bottom w:val="none" w:sz="0" w:space="0" w:color="auto"/>
            <w:right w:val="none" w:sz="0" w:space="0" w:color="auto"/>
          </w:divBdr>
          <w:divsChild>
            <w:div w:id="1682538185">
              <w:marLeft w:val="0"/>
              <w:marRight w:val="0"/>
              <w:marTop w:val="0"/>
              <w:marBottom w:val="0"/>
              <w:divBdr>
                <w:top w:val="none" w:sz="0" w:space="0" w:color="auto"/>
                <w:left w:val="none" w:sz="0" w:space="0" w:color="auto"/>
                <w:bottom w:val="none" w:sz="0" w:space="0" w:color="auto"/>
                <w:right w:val="none" w:sz="0" w:space="0" w:color="auto"/>
              </w:divBdr>
              <w:divsChild>
                <w:div w:id="458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2022-06-01T11:28:00Z</dcterms:created>
  <dcterms:modified xsi:type="dcterms:W3CDTF">2022-06-01T11:30:00Z</dcterms:modified>
</cp:coreProperties>
</file>