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209EC" w14:textId="7253B048" w:rsidR="007B1425" w:rsidRDefault="007B1425" w:rsidP="007B1425">
      <w:pPr>
        <w:spacing w:before="240" w:after="240" w:line="240" w:lineRule="auto"/>
        <w:jc w:val="center"/>
        <w:rPr>
          <w:rFonts w:ascii="Arial" w:eastAsia="Times New Roman" w:hAnsi="Arial" w:cs="Arial"/>
          <w:b/>
          <w:bCs/>
          <w:color w:val="156082" w:themeColor="accent1"/>
          <w:kern w:val="0"/>
          <w:sz w:val="28"/>
          <w:szCs w:val="28"/>
          <w14:ligatures w14:val="none"/>
        </w:rPr>
      </w:pPr>
      <w:r>
        <w:rPr>
          <w:rFonts w:ascii="Arial" w:eastAsia="Times New Roman" w:hAnsi="Arial" w:cs="Arial"/>
          <w:b/>
          <w:bCs/>
          <w:color w:val="156082" w:themeColor="accent1"/>
          <w:kern w:val="0"/>
          <w:sz w:val="28"/>
          <w:szCs w:val="28"/>
          <w14:ligatures w14:val="none"/>
        </w:rPr>
        <w:t>DS4200 Project Visualization Analysis</w:t>
      </w:r>
    </w:p>
    <w:p w14:paraId="042A71E6" w14:textId="361C72E7" w:rsidR="00A43237" w:rsidRPr="00A43237" w:rsidRDefault="00A43237" w:rsidP="007B1425">
      <w:pPr>
        <w:spacing w:before="240" w:after="240" w:line="240" w:lineRule="auto"/>
        <w:jc w:val="center"/>
        <w:rPr>
          <w:rFonts w:ascii="Arial" w:eastAsia="Times New Roman" w:hAnsi="Arial" w:cs="Arial"/>
          <w:b/>
          <w:bCs/>
          <w:color w:val="156082" w:themeColor="accent1"/>
          <w:kern w:val="0"/>
          <w14:ligatures w14:val="none"/>
        </w:rPr>
      </w:pPr>
      <w:hyperlink r:id="rId5" w:history="1">
        <w:r w:rsidRPr="00A43237">
          <w:rPr>
            <w:rStyle w:val="Hyperlink"/>
            <w:rFonts w:ascii="Arial" w:eastAsia="Times New Roman" w:hAnsi="Arial" w:cs="Arial"/>
            <w:b/>
            <w:bCs/>
            <w:kern w:val="0"/>
            <w14:ligatures w14:val="none"/>
          </w:rPr>
          <w:t>[Click for GitHub Website]</w:t>
        </w:r>
      </w:hyperlink>
    </w:p>
    <w:p w14:paraId="586566FE" w14:textId="4D1074F8" w:rsidR="007B1425" w:rsidRPr="007B1425" w:rsidRDefault="007B1425" w:rsidP="007B1425">
      <w:pPr>
        <w:pStyle w:val="ListParagraph"/>
        <w:numPr>
          <w:ilvl w:val="0"/>
          <w:numId w:val="3"/>
        </w:numPr>
        <w:spacing w:before="240" w:after="240" w:line="240" w:lineRule="auto"/>
        <w:rPr>
          <w:rFonts w:ascii="Times New Roman" w:eastAsia="Times New Roman" w:hAnsi="Times New Roman" w:cs="Times New Roman"/>
          <w:b/>
          <w:bCs/>
          <w:color w:val="156082" w:themeColor="accent1"/>
          <w:kern w:val="0"/>
          <w14:ligatures w14:val="none"/>
        </w:rPr>
      </w:pPr>
      <w:r w:rsidRPr="007B1425">
        <w:rPr>
          <w:rFonts w:ascii="Arial" w:eastAsia="Times New Roman" w:hAnsi="Arial" w:cs="Arial"/>
          <w:b/>
          <w:bCs/>
          <w:color w:val="156082" w:themeColor="accent1"/>
          <w:kern w:val="0"/>
          <w:sz w:val="22"/>
          <w:szCs w:val="22"/>
          <w14:ligatures w14:val="none"/>
        </w:rPr>
        <w:t>Macro Liquidity and RWA Sector Expansion</w:t>
      </w:r>
    </w:p>
    <w:p w14:paraId="452D12DD" w14:textId="77777777" w:rsidR="007B1425" w:rsidRPr="007B1425" w:rsidRDefault="007B1425" w:rsidP="007B1425">
      <w:pPr>
        <w:spacing w:before="240" w:after="240" w:line="240" w:lineRule="auto"/>
        <w:rPr>
          <w:rFonts w:ascii="Times New Roman" w:eastAsia="Times New Roman" w:hAnsi="Times New Roman" w:cs="Times New Roman"/>
          <w:kern w:val="0"/>
          <w14:ligatures w14:val="none"/>
        </w:rPr>
      </w:pPr>
      <w:r w:rsidRPr="007B1425">
        <w:rPr>
          <w:rFonts w:ascii="Arial" w:eastAsia="Times New Roman" w:hAnsi="Arial" w:cs="Arial"/>
          <w:b/>
          <w:bCs/>
          <w:color w:val="000000"/>
          <w:kern w:val="0"/>
          <w:sz w:val="22"/>
          <w:szCs w:val="22"/>
          <w14:ligatures w14:val="none"/>
        </w:rPr>
        <w:t>Interpretation:</w:t>
      </w:r>
      <w:r w:rsidRPr="007B1425">
        <w:rPr>
          <w:rFonts w:ascii="Arial" w:eastAsia="Times New Roman" w:hAnsi="Arial" w:cs="Arial"/>
          <w:color w:val="000000"/>
          <w:kern w:val="0"/>
          <w:sz w:val="22"/>
          <w:szCs w:val="22"/>
          <w14:ligatures w14:val="none"/>
        </w:rPr>
        <w:t xml:space="preserve"> RWA TVL rises alongside total stablecoin market capitalization, showing that stablecoins act as the main source of deployable on-chain capital. As liquidity expanded from 2023 to 2025, RWA adoption accelerated across multiple platforms. The trend highlights how sector growth depends on the availability of stablecoin liquidity.</w:t>
      </w:r>
    </w:p>
    <w:p w14:paraId="50256F9C" w14:textId="35A455BF" w:rsidR="007B1425" w:rsidRPr="007B1425" w:rsidRDefault="007B1425" w:rsidP="007B1425">
      <w:pPr>
        <w:spacing w:before="240" w:after="240" w:line="240" w:lineRule="auto"/>
        <w:rPr>
          <w:rFonts w:ascii="Times New Roman" w:eastAsia="Times New Roman" w:hAnsi="Times New Roman" w:cs="Times New Roman"/>
          <w:kern w:val="0"/>
          <w14:ligatures w14:val="none"/>
        </w:rPr>
      </w:pPr>
      <w:r w:rsidRPr="007B1425">
        <w:rPr>
          <w:rFonts w:ascii="Arial" w:eastAsia="Times New Roman" w:hAnsi="Arial" w:cs="Arial"/>
          <w:b/>
          <w:bCs/>
          <w:color w:val="000000"/>
          <w:kern w:val="0"/>
          <w:sz w:val="22"/>
          <w:szCs w:val="22"/>
          <w14:ligatures w14:val="none"/>
        </w:rPr>
        <w:t xml:space="preserve">Design: </w:t>
      </w:r>
      <w:r w:rsidRPr="007B1425">
        <w:rPr>
          <w:rFonts w:ascii="Arial" w:eastAsia="Times New Roman" w:hAnsi="Arial" w:cs="Arial"/>
          <w:color w:val="000000"/>
          <w:kern w:val="0"/>
          <w:sz w:val="22"/>
          <w:szCs w:val="22"/>
          <w14:ligatures w14:val="none"/>
        </w:rPr>
        <w:t>This gauge chart uses arc segments (marks) with needle angle as position and color (channels) to encode M2 growth rate. The coded color palette (red=contraction, yellow=neutral, green=growth) provides an intuitive interpretation of economic states according to M2 growth rates for the general audience. We built this visualization to instantly communicate current macro liquidity conditions, contextualizing whether stablecoin environments favor RWA expansion without requiring users to parse raw percentages. </w:t>
      </w:r>
    </w:p>
    <w:p w14:paraId="4737948E" w14:textId="267D6567" w:rsidR="007B1425" w:rsidRPr="007B1425" w:rsidRDefault="007B1425" w:rsidP="007B1425">
      <w:pPr>
        <w:spacing w:before="240" w:after="240" w:line="240" w:lineRule="auto"/>
        <w:rPr>
          <w:rFonts w:ascii="Times New Roman" w:eastAsia="Times New Roman" w:hAnsi="Times New Roman" w:cs="Times New Roman"/>
          <w:b/>
          <w:bCs/>
          <w:color w:val="156082" w:themeColor="accent1"/>
          <w:kern w:val="0"/>
          <w14:ligatures w14:val="none"/>
        </w:rPr>
      </w:pPr>
      <w:r>
        <w:rPr>
          <w:rFonts w:ascii="Arial" w:eastAsia="Times New Roman" w:hAnsi="Arial" w:cs="Arial"/>
          <w:b/>
          <w:bCs/>
          <w:color w:val="156082" w:themeColor="accent1"/>
          <w:kern w:val="0"/>
          <w:sz w:val="22"/>
          <w:szCs w:val="22"/>
          <w14:ligatures w14:val="none"/>
        </w:rPr>
        <w:t xml:space="preserve">(2) </w:t>
      </w:r>
      <w:r w:rsidRPr="007B1425">
        <w:rPr>
          <w:rFonts w:ascii="Arial" w:eastAsia="Times New Roman" w:hAnsi="Arial" w:cs="Arial"/>
          <w:b/>
          <w:bCs/>
          <w:color w:val="156082" w:themeColor="accent1"/>
          <w:kern w:val="0"/>
          <w:sz w:val="22"/>
          <w:szCs w:val="22"/>
          <w14:ligatures w14:val="none"/>
        </w:rPr>
        <w:t>Correlation Between Macro Variables and RWA TVL</w:t>
      </w:r>
    </w:p>
    <w:p w14:paraId="3A4AE01B" w14:textId="77777777" w:rsidR="007B1425" w:rsidRPr="007B1425" w:rsidRDefault="007B1425" w:rsidP="007B1425">
      <w:pPr>
        <w:spacing w:before="240" w:after="240" w:line="240" w:lineRule="auto"/>
        <w:rPr>
          <w:rFonts w:ascii="Times New Roman" w:eastAsia="Times New Roman" w:hAnsi="Times New Roman" w:cs="Times New Roman"/>
          <w:kern w:val="0"/>
          <w14:ligatures w14:val="none"/>
        </w:rPr>
      </w:pPr>
      <w:r w:rsidRPr="007B1425">
        <w:rPr>
          <w:rFonts w:ascii="Arial" w:eastAsia="Times New Roman" w:hAnsi="Arial" w:cs="Arial"/>
          <w:b/>
          <w:bCs/>
          <w:color w:val="000000"/>
          <w:kern w:val="0"/>
          <w:sz w:val="22"/>
          <w:szCs w:val="22"/>
          <w14:ligatures w14:val="none"/>
        </w:rPr>
        <w:t>Interpretation:</w:t>
      </w:r>
      <w:r w:rsidRPr="007B1425">
        <w:rPr>
          <w:rFonts w:ascii="Arial" w:eastAsia="Times New Roman" w:hAnsi="Arial" w:cs="Arial"/>
          <w:color w:val="000000"/>
          <w:kern w:val="0"/>
          <w:sz w:val="22"/>
          <w:szCs w:val="22"/>
          <w14:ligatures w14:val="none"/>
        </w:rPr>
        <w:t xml:space="preserve"> Strong positive correlations between RWA TVL and stablecoin supply confirm that liquidity conditions drive expansion in the RWA sector. Relationships with M2 and Treasury yields reveal how broader macro environments influence capital allocation. Liquidity growth and yield conditions together shape the pace and direction of RWA adoption.</w:t>
      </w:r>
    </w:p>
    <w:p w14:paraId="1DCFCA39" w14:textId="46BB6AF4" w:rsidR="007B1425" w:rsidRPr="007B1425" w:rsidRDefault="007B1425" w:rsidP="007B1425">
      <w:pPr>
        <w:spacing w:before="240" w:after="240" w:line="240" w:lineRule="auto"/>
        <w:rPr>
          <w:rFonts w:ascii="Times New Roman" w:eastAsia="Times New Roman" w:hAnsi="Times New Roman" w:cs="Times New Roman"/>
          <w:kern w:val="0"/>
          <w14:ligatures w14:val="none"/>
        </w:rPr>
      </w:pPr>
      <w:r w:rsidRPr="007B1425">
        <w:rPr>
          <w:rFonts w:ascii="Arial" w:eastAsia="Times New Roman" w:hAnsi="Arial" w:cs="Arial"/>
          <w:b/>
          <w:bCs/>
          <w:color w:val="000000"/>
          <w:kern w:val="0"/>
          <w:sz w:val="22"/>
          <w:szCs w:val="22"/>
          <w14:ligatures w14:val="none"/>
        </w:rPr>
        <w:t xml:space="preserve">Design: </w:t>
      </w:r>
      <w:r w:rsidRPr="007B1425">
        <w:rPr>
          <w:rFonts w:ascii="Arial" w:eastAsia="Times New Roman" w:hAnsi="Arial" w:cs="Arial"/>
          <w:color w:val="000000"/>
          <w:kern w:val="0"/>
          <w:sz w:val="22"/>
          <w:szCs w:val="22"/>
          <w14:ligatures w14:val="none"/>
        </w:rPr>
        <w:t>This dual-line time series uses line marks with position channels (x=time, y=USD value) to encode temporal correlation between stablecoin liquidity (yellow line) and RWA TVL (blue line). We strategically chose a contrasting color palette, creating visual separation and allowing readers to track how stablecoin market cap increases often come before in RWA sector expansions over time. </w:t>
      </w:r>
    </w:p>
    <w:p w14:paraId="478DA055" w14:textId="47BC866A" w:rsidR="007B1425" w:rsidRPr="007B1425" w:rsidRDefault="007B1425" w:rsidP="007B1425">
      <w:pPr>
        <w:spacing w:before="240" w:after="240" w:line="240" w:lineRule="auto"/>
        <w:rPr>
          <w:rFonts w:ascii="Times New Roman" w:eastAsia="Times New Roman" w:hAnsi="Times New Roman" w:cs="Times New Roman"/>
          <w:b/>
          <w:bCs/>
          <w:color w:val="156082" w:themeColor="accent1"/>
          <w:kern w:val="0"/>
          <w14:ligatures w14:val="none"/>
        </w:rPr>
      </w:pPr>
      <w:r>
        <w:rPr>
          <w:rFonts w:ascii="Arial" w:eastAsia="Times New Roman" w:hAnsi="Arial" w:cs="Arial"/>
          <w:b/>
          <w:bCs/>
          <w:color w:val="156082" w:themeColor="accent1"/>
          <w:kern w:val="0"/>
          <w:sz w:val="22"/>
          <w:szCs w:val="22"/>
          <w14:ligatures w14:val="none"/>
        </w:rPr>
        <w:t xml:space="preserve">(3) </w:t>
      </w:r>
      <w:r w:rsidRPr="007B1425">
        <w:rPr>
          <w:rFonts w:ascii="Arial" w:eastAsia="Times New Roman" w:hAnsi="Arial" w:cs="Arial"/>
          <w:b/>
          <w:bCs/>
          <w:color w:val="156082" w:themeColor="accent1"/>
          <w:kern w:val="0"/>
          <w:sz w:val="22"/>
          <w:szCs w:val="22"/>
          <w14:ligatures w14:val="none"/>
        </w:rPr>
        <w:t>Yield Regimes and RWA Asset Mix</w:t>
      </w:r>
    </w:p>
    <w:p w14:paraId="1F4CBC7D" w14:textId="77777777" w:rsidR="007B1425" w:rsidRPr="007B1425" w:rsidRDefault="007B1425" w:rsidP="007B1425">
      <w:pPr>
        <w:spacing w:before="240" w:after="240" w:line="240" w:lineRule="auto"/>
        <w:rPr>
          <w:rFonts w:ascii="Times New Roman" w:eastAsia="Times New Roman" w:hAnsi="Times New Roman" w:cs="Times New Roman"/>
          <w:kern w:val="0"/>
          <w14:ligatures w14:val="none"/>
        </w:rPr>
      </w:pPr>
      <w:r w:rsidRPr="007B1425">
        <w:rPr>
          <w:rFonts w:ascii="Arial" w:eastAsia="Times New Roman" w:hAnsi="Arial" w:cs="Arial"/>
          <w:b/>
          <w:bCs/>
          <w:color w:val="000000"/>
          <w:kern w:val="0"/>
          <w:sz w:val="22"/>
          <w:szCs w:val="22"/>
          <w14:ligatures w14:val="none"/>
        </w:rPr>
        <w:t>Interpretation:</w:t>
      </w:r>
      <w:r w:rsidRPr="007B1425">
        <w:rPr>
          <w:rFonts w:ascii="Arial" w:eastAsia="Times New Roman" w:hAnsi="Arial" w:cs="Arial"/>
          <w:color w:val="000000"/>
          <w:kern w:val="0"/>
          <w:sz w:val="22"/>
          <w:szCs w:val="22"/>
          <w14:ligatures w14:val="none"/>
        </w:rPr>
        <w:t xml:space="preserve"> Shifts in the 10 Year Treasury yield correspond to rotations in investor allocation. Low yields push capital toward higher return private credit platforms, while rising yields increase demand for safer tokenized Treasury products. Changing macro incentives reshape the balance of RWA asset types and diversify the overall market.</w:t>
      </w:r>
    </w:p>
    <w:p w14:paraId="226BB4ED" w14:textId="56698893" w:rsidR="007B1425" w:rsidRPr="007B1425" w:rsidRDefault="007B1425" w:rsidP="007B1425">
      <w:pPr>
        <w:spacing w:before="240" w:after="240" w:line="240" w:lineRule="auto"/>
        <w:rPr>
          <w:rFonts w:ascii="Times New Roman" w:eastAsia="Times New Roman" w:hAnsi="Times New Roman" w:cs="Times New Roman"/>
          <w:kern w:val="0"/>
          <w14:ligatures w14:val="none"/>
        </w:rPr>
      </w:pPr>
      <w:r w:rsidRPr="007B1425">
        <w:rPr>
          <w:rFonts w:ascii="Arial" w:eastAsia="Times New Roman" w:hAnsi="Arial" w:cs="Arial"/>
          <w:b/>
          <w:bCs/>
          <w:color w:val="000000"/>
          <w:kern w:val="0"/>
          <w:sz w:val="22"/>
          <w:szCs w:val="22"/>
          <w14:ligatures w14:val="none"/>
        </w:rPr>
        <w:t xml:space="preserve">Design: </w:t>
      </w:r>
      <w:r w:rsidRPr="007B1425">
        <w:rPr>
          <w:rFonts w:ascii="Arial" w:eastAsia="Times New Roman" w:hAnsi="Arial" w:cs="Arial"/>
          <w:color w:val="000000"/>
          <w:kern w:val="0"/>
          <w:sz w:val="22"/>
          <w:szCs w:val="22"/>
          <w14:ligatures w14:val="none"/>
        </w:rPr>
        <w:t>This</w:t>
      </w:r>
      <w:r w:rsidRPr="007B1425">
        <w:rPr>
          <w:rFonts w:ascii="Arial" w:eastAsia="Times New Roman" w:hAnsi="Arial" w:cs="Arial"/>
          <w:b/>
          <w:bCs/>
          <w:color w:val="000000"/>
          <w:kern w:val="0"/>
          <w:sz w:val="22"/>
          <w:szCs w:val="22"/>
          <w14:ligatures w14:val="none"/>
        </w:rPr>
        <w:t xml:space="preserve"> </w:t>
      </w:r>
      <w:r w:rsidRPr="007B1425">
        <w:rPr>
          <w:rFonts w:ascii="Arial" w:eastAsia="Times New Roman" w:hAnsi="Arial" w:cs="Arial"/>
          <w:color w:val="000000"/>
          <w:kern w:val="0"/>
          <w:sz w:val="22"/>
          <w:szCs w:val="22"/>
          <w14:ligatures w14:val="none"/>
        </w:rPr>
        <w:t>interactive Altair heatmap uses rectangular marks with color (purple to yellow scale) and position (matrix layout) as channels to encode correlation coefficients between macro variables and RWA TVL. Purple indicates negative correlations while yellow/green reflect positive relationships. We chose an interactive tooltip to allow precise value exploration across our 12 features. This would instantaneously reveal which liquidity indicators (</w:t>
      </w:r>
      <w:proofErr w:type="spellStart"/>
      <w:r w:rsidRPr="007B1425">
        <w:rPr>
          <w:rFonts w:ascii="Arial" w:eastAsia="Times New Roman" w:hAnsi="Arial" w:cs="Arial"/>
          <w:color w:val="000000"/>
          <w:kern w:val="0"/>
          <w:sz w:val="22"/>
          <w:szCs w:val="22"/>
          <w14:ligatures w14:val="none"/>
        </w:rPr>
        <w:t>total_stablecoin_mcap</w:t>
      </w:r>
      <w:proofErr w:type="spellEnd"/>
      <w:r w:rsidRPr="007B1425">
        <w:rPr>
          <w:rFonts w:ascii="Arial" w:eastAsia="Times New Roman" w:hAnsi="Arial" w:cs="Arial"/>
          <w:color w:val="000000"/>
          <w:kern w:val="0"/>
          <w:sz w:val="22"/>
          <w:szCs w:val="22"/>
          <w14:ligatures w14:val="none"/>
        </w:rPr>
        <w:t xml:space="preserve">, </w:t>
      </w:r>
      <w:proofErr w:type="spellStart"/>
      <w:r w:rsidRPr="007B1425">
        <w:rPr>
          <w:rFonts w:ascii="Arial" w:eastAsia="Times New Roman" w:hAnsi="Arial" w:cs="Arial"/>
          <w:color w:val="000000"/>
          <w:kern w:val="0"/>
          <w:sz w:val="22"/>
          <w:szCs w:val="22"/>
          <w14:ligatures w14:val="none"/>
        </w:rPr>
        <w:t>usdc_mcap</w:t>
      </w:r>
      <w:proofErr w:type="spellEnd"/>
      <w:r w:rsidRPr="007B1425">
        <w:rPr>
          <w:rFonts w:ascii="Arial" w:eastAsia="Times New Roman" w:hAnsi="Arial" w:cs="Arial"/>
          <w:color w:val="000000"/>
          <w:kern w:val="0"/>
          <w:sz w:val="22"/>
          <w:szCs w:val="22"/>
          <w14:ligatures w14:val="none"/>
        </w:rPr>
        <w:t xml:space="preserve">, </w:t>
      </w:r>
      <w:proofErr w:type="spellStart"/>
      <w:r w:rsidRPr="007B1425">
        <w:rPr>
          <w:rFonts w:ascii="Arial" w:eastAsia="Times New Roman" w:hAnsi="Arial" w:cs="Arial"/>
          <w:color w:val="000000"/>
          <w:kern w:val="0"/>
          <w:sz w:val="22"/>
          <w:szCs w:val="22"/>
          <w14:ligatures w14:val="none"/>
        </w:rPr>
        <w:t>usdt_mcap</w:t>
      </w:r>
      <w:proofErr w:type="spellEnd"/>
      <w:r w:rsidRPr="007B1425">
        <w:rPr>
          <w:rFonts w:ascii="Arial" w:eastAsia="Times New Roman" w:hAnsi="Arial" w:cs="Arial"/>
          <w:color w:val="000000"/>
          <w:kern w:val="0"/>
          <w:sz w:val="22"/>
          <w:szCs w:val="22"/>
          <w14:ligatures w14:val="none"/>
        </w:rPr>
        <w:t>) correlate strongest with RWA sector growth. </w:t>
      </w:r>
    </w:p>
    <w:p w14:paraId="1908ACCF" w14:textId="2A5987D4" w:rsidR="007B1425" w:rsidRPr="007B1425" w:rsidRDefault="007B1425" w:rsidP="007B1425">
      <w:pPr>
        <w:spacing w:before="240" w:after="240" w:line="240" w:lineRule="auto"/>
        <w:rPr>
          <w:rFonts w:ascii="Times New Roman" w:eastAsia="Times New Roman" w:hAnsi="Times New Roman" w:cs="Times New Roman"/>
          <w:b/>
          <w:bCs/>
          <w:color w:val="156082" w:themeColor="accent1"/>
          <w:kern w:val="0"/>
          <w14:ligatures w14:val="none"/>
        </w:rPr>
      </w:pPr>
      <w:r>
        <w:rPr>
          <w:rFonts w:ascii="Arial" w:eastAsia="Times New Roman" w:hAnsi="Arial" w:cs="Arial"/>
          <w:b/>
          <w:bCs/>
          <w:color w:val="156082" w:themeColor="accent1"/>
          <w:kern w:val="0"/>
          <w:sz w:val="22"/>
          <w:szCs w:val="22"/>
          <w14:ligatures w14:val="none"/>
        </w:rPr>
        <w:t xml:space="preserve">(4) </w:t>
      </w:r>
      <w:r w:rsidRPr="007B1425">
        <w:rPr>
          <w:rFonts w:ascii="Arial" w:eastAsia="Times New Roman" w:hAnsi="Arial" w:cs="Arial"/>
          <w:b/>
          <w:bCs/>
          <w:color w:val="156082" w:themeColor="accent1"/>
          <w:kern w:val="0"/>
          <w:sz w:val="22"/>
          <w:szCs w:val="22"/>
          <w14:ligatures w14:val="none"/>
        </w:rPr>
        <w:t>Multichain Expansion and Capital Distribution</w:t>
      </w:r>
    </w:p>
    <w:p w14:paraId="7CDA4A53" w14:textId="77777777" w:rsidR="007B1425" w:rsidRPr="007B1425" w:rsidRDefault="007B1425" w:rsidP="007B1425">
      <w:pPr>
        <w:spacing w:before="240" w:after="240" w:line="240" w:lineRule="auto"/>
        <w:rPr>
          <w:rFonts w:ascii="Times New Roman" w:eastAsia="Times New Roman" w:hAnsi="Times New Roman" w:cs="Times New Roman"/>
          <w:kern w:val="0"/>
          <w14:ligatures w14:val="none"/>
        </w:rPr>
      </w:pPr>
      <w:r w:rsidRPr="007B1425">
        <w:rPr>
          <w:rFonts w:ascii="Arial" w:eastAsia="Times New Roman" w:hAnsi="Arial" w:cs="Arial"/>
          <w:b/>
          <w:bCs/>
          <w:color w:val="000000"/>
          <w:kern w:val="0"/>
          <w:sz w:val="22"/>
          <w:szCs w:val="22"/>
          <w14:ligatures w14:val="none"/>
        </w:rPr>
        <w:t xml:space="preserve">Interpretation: </w:t>
      </w:r>
      <w:r w:rsidRPr="007B1425">
        <w:rPr>
          <w:rFonts w:ascii="Arial" w:eastAsia="Times New Roman" w:hAnsi="Arial" w:cs="Arial"/>
          <w:color w:val="000000"/>
          <w:kern w:val="0"/>
          <w:sz w:val="22"/>
          <w:szCs w:val="22"/>
          <w14:ligatures w14:val="none"/>
        </w:rPr>
        <w:t xml:space="preserve">Early RWA growth was concentrated on Ethereum, but TVL gradually expanded to Solana, Avalanche, Mantle, and other chains. The movement toward a multichain footprint </w:t>
      </w:r>
      <w:r w:rsidRPr="007B1425">
        <w:rPr>
          <w:rFonts w:ascii="Arial" w:eastAsia="Times New Roman" w:hAnsi="Arial" w:cs="Arial"/>
          <w:color w:val="000000"/>
          <w:kern w:val="0"/>
          <w:sz w:val="22"/>
          <w:szCs w:val="22"/>
          <w14:ligatures w14:val="none"/>
        </w:rPr>
        <w:lastRenderedPageBreak/>
        <w:t>reduces dependence on a single network, enables faster scaling, and distributes settlement risk across different ecosystems.</w:t>
      </w:r>
    </w:p>
    <w:p w14:paraId="7F57D572" w14:textId="36D56813" w:rsidR="007B1425" w:rsidRPr="007B1425" w:rsidRDefault="007B1425" w:rsidP="007B1425">
      <w:pPr>
        <w:spacing w:before="240" w:after="240" w:line="240" w:lineRule="auto"/>
        <w:rPr>
          <w:rFonts w:ascii="Times New Roman" w:eastAsia="Times New Roman" w:hAnsi="Times New Roman" w:cs="Times New Roman"/>
          <w:kern w:val="0"/>
          <w14:ligatures w14:val="none"/>
        </w:rPr>
      </w:pPr>
      <w:r w:rsidRPr="007B1425">
        <w:rPr>
          <w:rFonts w:ascii="Arial" w:eastAsia="Times New Roman" w:hAnsi="Arial" w:cs="Arial"/>
          <w:b/>
          <w:bCs/>
          <w:color w:val="000000"/>
          <w:kern w:val="0"/>
          <w:sz w:val="22"/>
          <w:szCs w:val="22"/>
          <w14:ligatures w14:val="none"/>
        </w:rPr>
        <w:t xml:space="preserve">Design: </w:t>
      </w:r>
      <w:r w:rsidRPr="007B1425">
        <w:rPr>
          <w:rFonts w:ascii="Arial" w:eastAsia="Times New Roman" w:hAnsi="Arial" w:cs="Arial"/>
          <w:color w:val="000000"/>
          <w:kern w:val="0"/>
          <w:sz w:val="22"/>
          <w:szCs w:val="22"/>
          <w14:ligatures w14:val="none"/>
        </w:rPr>
        <w:t xml:space="preserve">This time series visualization uses stacked area marks to encode the distribution of RWA TVL across major </w:t>
      </w:r>
      <w:proofErr w:type="spellStart"/>
      <w:r w:rsidRPr="007B1425">
        <w:rPr>
          <w:rFonts w:ascii="Arial" w:eastAsia="Times New Roman" w:hAnsi="Arial" w:cs="Arial"/>
          <w:color w:val="000000"/>
          <w:kern w:val="0"/>
          <w:sz w:val="22"/>
          <w:szCs w:val="22"/>
          <w14:ligatures w14:val="none"/>
        </w:rPr>
        <w:t>blockchains.Color</w:t>
      </w:r>
      <w:proofErr w:type="spellEnd"/>
      <w:r w:rsidRPr="007B1425">
        <w:rPr>
          <w:rFonts w:ascii="Arial" w:eastAsia="Times New Roman" w:hAnsi="Arial" w:cs="Arial"/>
          <w:color w:val="000000"/>
          <w:kern w:val="0"/>
          <w:sz w:val="22"/>
          <w:szCs w:val="22"/>
          <w14:ligatures w14:val="none"/>
        </w:rPr>
        <w:t xml:space="preserve"> is used as a categorical channel to differentiate chains, allowing viewers to follow the relative share of Ethereum, Solana, Avalanche, Mantle, and others without confusion. The stacked layout emphasizes cumulative growth as well as changes in dominance over time. This design choice effectively communicates both absolute expansion and shifting multichain distribution, showing how RWA activity becomes less concentrated on a single network as the sector matures.</w:t>
      </w:r>
    </w:p>
    <w:p w14:paraId="67A47677" w14:textId="745E5BF4" w:rsidR="007B1425" w:rsidRPr="007B1425" w:rsidRDefault="007B1425" w:rsidP="007B1425">
      <w:pPr>
        <w:spacing w:before="240" w:after="240" w:line="240" w:lineRule="auto"/>
        <w:rPr>
          <w:rFonts w:ascii="Times New Roman" w:eastAsia="Times New Roman" w:hAnsi="Times New Roman" w:cs="Times New Roman"/>
          <w:b/>
          <w:bCs/>
          <w:color w:val="156082" w:themeColor="accent1"/>
          <w:kern w:val="0"/>
          <w14:ligatures w14:val="none"/>
        </w:rPr>
      </w:pPr>
      <w:r>
        <w:rPr>
          <w:rFonts w:ascii="Arial" w:eastAsia="Times New Roman" w:hAnsi="Arial" w:cs="Arial"/>
          <w:b/>
          <w:bCs/>
          <w:color w:val="156082" w:themeColor="accent1"/>
          <w:kern w:val="0"/>
          <w:sz w:val="22"/>
          <w:szCs w:val="22"/>
          <w14:ligatures w14:val="none"/>
        </w:rPr>
        <w:t xml:space="preserve">(5) </w:t>
      </w:r>
      <w:r w:rsidRPr="007B1425">
        <w:rPr>
          <w:rFonts w:ascii="Arial" w:eastAsia="Times New Roman" w:hAnsi="Arial" w:cs="Arial"/>
          <w:b/>
          <w:bCs/>
          <w:color w:val="156082" w:themeColor="accent1"/>
          <w:kern w:val="0"/>
          <w:sz w:val="22"/>
          <w:szCs w:val="22"/>
          <w14:ligatures w14:val="none"/>
        </w:rPr>
        <w:t>Protocol Level Market Structure</w:t>
      </w:r>
    </w:p>
    <w:p w14:paraId="2B619D68" w14:textId="77777777" w:rsidR="007B1425" w:rsidRPr="007B1425" w:rsidRDefault="007B1425" w:rsidP="007B1425">
      <w:pPr>
        <w:spacing w:before="240" w:after="240" w:line="240" w:lineRule="auto"/>
        <w:rPr>
          <w:rFonts w:ascii="Times New Roman" w:eastAsia="Times New Roman" w:hAnsi="Times New Roman" w:cs="Times New Roman"/>
          <w:kern w:val="0"/>
          <w14:ligatures w14:val="none"/>
        </w:rPr>
      </w:pPr>
      <w:r w:rsidRPr="007B1425">
        <w:rPr>
          <w:rFonts w:ascii="Arial" w:eastAsia="Times New Roman" w:hAnsi="Arial" w:cs="Arial"/>
          <w:b/>
          <w:bCs/>
          <w:color w:val="000000"/>
          <w:kern w:val="0"/>
          <w:sz w:val="22"/>
          <w:szCs w:val="22"/>
          <w14:ligatures w14:val="none"/>
        </w:rPr>
        <w:t xml:space="preserve">Interpretation: </w:t>
      </w:r>
      <w:r w:rsidRPr="007B1425">
        <w:rPr>
          <w:rFonts w:ascii="Arial" w:eastAsia="Times New Roman" w:hAnsi="Arial" w:cs="Arial"/>
          <w:color w:val="000000"/>
          <w:kern w:val="0"/>
          <w:sz w:val="22"/>
          <w:szCs w:val="22"/>
          <w14:ligatures w14:val="none"/>
        </w:rPr>
        <w:t>TVL growth over time shows how early dominance by a few private credit protocols gave way to broader competition as new entrants gained traction. Investor demand and increasing liquidity allowed more platforms to scale, producing a more balanced and dynamic protocol landscape.</w:t>
      </w:r>
    </w:p>
    <w:p w14:paraId="521D5927" w14:textId="2B88BBBB" w:rsidR="007B1425" w:rsidRPr="007B1425" w:rsidRDefault="007B1425" w:rsidP="007B1425">
      <w:pPr>
        <w:spacing w:before="240" w:after="240" w:line="240" w:lineRule="auto"/>
        <w:rPr>
          <w:rFonts w:ascii="Times New Roman" w:eastAsia="Times New Roman" w:hAnsi="Times New Roman" w:cs="Times New Roman"/>
          <w:kern w:val="0"/>
          <w14:ligatures w14:val="none"/>
        </w:rPr>
      </w:pPr>
      <w:r w:rsidRPr="007B1425">
        <w:rPr>
          <w:rFonts w:ascii="Arial" w:eastAsia="Times New Roman" w:hAnsi="Arial" w:cs="Arial"/>
          <w:b/>
          <w:bCs/>
          <w:color w:val="000000"/>
          <w:kern w:val="0"/>
          <w:sz w:val="22"/>
          <w:szCs w:val="22"/>
          <w14:ligatures w14:val="none"/>
        </w:rPr>
        <w:t xml:space="preserve">Design:  </w:t>
      </w:r>
      <w:r w:rsidRPr="007B1425">
        <w:rPr>
          <w:rFonts w:ascii="Arial" w:eastAsia="Times New Roman" w:hAnsi="Arial" w:cs="Arial"/>
          <w:color w:val="000000"/>
          <w:kern w:val="0"/>
          <w:sz w:val="22"/>
          <w:szCs w:val="22"/>
          <w14:ligatures w14:val="none"/>
        </w:rPr>
        <w:t xml:space="preserve">This visualization uses multiple line marks to represent TVL trajectories for leading RWA </w:t>
      </w:r>
      <w:proofErr w:type="spellStart"/>
      <w:r w:rsidRPr="007B1425">
        <w:rPr>
          <w:rFonts w:ascii="Arial" w:eastAsia="Times New Roman" w:hAnsi="Arial" w:cs="Arial"/>
          <w:color w:val="000000"/>
          <w:kern w:val="0"/>
          <w:sz w:val="22"/>
          <w:szCs w:val="22"/>
          <w14:ligatures w14:val="none"/>
        </w:rPr>
        <w:t>protocols.Color</w:t>
      </w:r>
      <w:proofErr w:type="spellEnd"/>
      <w:r w:rsidRPr="007B1425">
        <w:rPr>
          <w:rFonts w:ascii="Arial" w:eastAsia="Times New Roman" w:hAnsi="Arial" w:cs="Arial"/>
          <w:color w:val="000000"/>
          <w:kern w:val="0"/>
          <w:sz w:val="22"/>
          <w:szCs w:val="22"/>
          <w14:ligatures w14:val="none"/>
        </w:rPr>
        <w:t xml:space="preserve"> serves as a categorical channel to distinguish each protocol. Line marks were chosen because they clearly communicate longitudinal growth patterns, reveal changes in momentum, and highlight the emergence of new protocols. The use of separate lines instead of a stacked design allows viewers to directly compare performance across platforms without losing the individuality of each trend. This structure supports analysis of competition, growth phases, and protocol turnover within the RWA ecosystem.</w:t>
      </w:r>
    </w:p>
    <w:p w14:paraId="4AF21ED5" w14:textId="75E2B6E2" w:rsidR="007B1425" w:rsidRPr="007B1425" w:rsidRDefault="007B1425" w:rsidP="007B1425">
      <w:pPr>
        <w:spacing w:before="240" w:after="240" w:line="240" w:lineRule="auto"/>
        <w:rPr>
          <w:rFonts w:ascii="Times New Roman" w:eastAsia="Times New Roman" w:hAnsi="Times New Roman" w:cs="Times New Roman"/>
          <w:b/>
          <w:bCs/>
          <w:color w:val="156082" w:themeColor="accent1"/>
          <w:kern w:val="0"/>
          <w14:ligatures w14:val="none"/>
        </w:rPr>
      </w:pPr>
      <w:r>
        <w:rPr>
          <w:rFonts w:ascii="Arial" w:eastAsia="Times New Roman" w:hAnsi="Arial" w:cs="Arial"/>
          <w:b/>
          <w:bCs/>
          <w:color w:val="156082" w:themeColor="accent1"/>
          <w:kern w:val="0"/>
          <w:sz w:val="22"/>
          <w:szCs w:val="22"/>
          <w14:ligatures w14:val="none"/>
        </w:rPr>
        <w:t xml:space="preserve">(6) </w:t>
      </w:r>
      <w:r w:rsidRPr="007B1425">
        <w:rPr>
          <w:rFonts w:ascii="Arial" w:eastAsia="Times New Roman" w:hAnsi="Arial" w:cs="Arial"/>
          <w:b/>
          <w:bCs/>
          <w:color w:val="156082" w:themeColor="accent1"/>
          <w:kern w:val="0"/>
          <w:sz w:val="22"/>
          <w:szCs w:val="22"/>
          <w14:ligatures w14:val="none"/>
        </w:rPr>
        <w:t>Latest Protocol Snapshot</w:t>
      </w:r>
    </w:p>
    <w:p w14:paraId="4595C046" w14:textId="77777777" w:rsidR="007B1425" w:rsidRPr="007B1425" w:rsidRDefault="007B1425" w:rsidP="007B1425">
      <w:pPr>
        <w:spacing w:before="240" w:after="240" w:line="240" w:lineRule="auto"/>
        <w:rPr>
          <w:rFonts w:ascii="Times New Roman" w:eastAsia="Times New Roman" w:hAnsi="Times New Roman" w:cs="Times New Roman"/>
          <w:kern w:val="0"/>
          <w14:ligatures w14:val="none"/>
        </w:rPr>
      </w:pPr>
      <w:r w:rsidRPr="007B1425">
        <w:rPr>
          <w:rFonts w:ascii="Arial" w:eastAsia="Times New Roman" w:hAnsi="Arial" w:cs="Arial"/>
          <w:b/>
          <w:bCs/>
          <w:color w:val="000000"/>
          <w:kern w:val="0"/>
          <w:sz w:val="22"/>
          <w:szCs w:val="22"/>
          <w14:ligatures w14:val="none"/>
        </w:rPr>
        <w:t xml:space="preserve">Interpretation: </w:t>
      </w:r>
      <w:r w:rsidRPr="007B1425">
        <w:rPr>
          <w:rFonts w:ascii="Arial" w:eastAsia="Times New Roman" w:hAnsi="Arial" w:cs="Arial"/>
          <w:color w:val="000000"/>
          <w:kern w:val="0"/>
          <w:sz w:val="22"/>
          <w:szCs w:val="22"/>
          <w14:ligatures w14:val="none"/>
        </w:rPr>
        <w:t>Current TVL distribution highlights the leading RWA protocols and their relative market positions. The snapshot provides a clear view of which platforms currently attract the most liquidity and how market share is divided across the ecosystem.</w:t>
      </w:r>
    </w:p>
    <w:p w14:paraId="7DC95CAB" w14:textId="4D3F3D97" w:rsidR="007B1425" w:rsidRPr="007B1425" w:rsidRDefault="007B1425" w:rsidP="007B1425">
      <w:pPr>
        <w:spacing w:before="240" w:after="240" w:line="240" w:lineRule="auto"/>
        <w:rPr>
          <w:rFonts w:ascii="Times New Roman" w:eastAsia="Times New Roman" w:hAnsi="Times New Roman" w:cs="Times New Roman"/>
          <w:kern w:val="0"/>
          <w14:ligatures w14:val="none"/>
        </w:rPr>
      </w:pPr>
      <w:r w:rsidRPr="007B1425">
        <w:rPr>
          <w:rFonts w:ascii="Arial" w:eastAsia="Times New Roman" w:hAnsi="Arial" w:cs="Arial"/>
          <w:b/>
          <w:bCs/>
          <w:color w:val="000000"/>
          <w:kern w:val="0"/>
          <w:sz w:val="22"/>
          <w:szCs w:val="22"/>
          <w14:ligatures w14:val="none"/>
        </w:rPr>
        <w:t xml:space="preserve">Design: </w:t>
      </w:r>
      <w:r w:rsidRPr="007B1425">
        <w:rPr>
          <w:rFonts w:ascii="Arial" w:eastAsia="Times New Roman" w:hAnsi="Arial" w:cs="Arial"/>
          <w:color w:val="000000"/>
          <w:kern w:val="0"/>
          <w:sz w:val="22"/>
          <w:szCs w:val="22"/>
          <w14:ligatures w14:val="none"/>
        </w:rPr>
        <w:t>This bar chart uses vertical bar marks to compare TVL across major RWA protocols at a single point in time. The length of each bar encodes TVL magnitude, and color differentiates protocols while maintaining visual consistency with earlier charts. The bar chart format was selected for its clarity when presenting categorical comparisons. It allows users to quickly identify market leaders, quantify differences in protocol size, and understand relative market positions. This snapshot complements the time series by providing a clear point in time reference that highlights current competitive standing.</w:t>
      </w:r>
    </w:p>
    <w:p w14:paraId="30F5061B" w14:textId="0B1109A9" w:rsidR="007B1425" w:rsidRPr="007B1425" w:rsidRDefault="007B1425" w:rsidP="007B1425">
      <w:pPr>
        <w:spacing w:before="240" w:after="240" w:line="240" w:lineRule="auto"/>
        <w:rPr>
          <w:rFonts w:ascii="Times New Roman" w:eastAsia="Times New Roman" w:hAnsi="Times New Roman" w:cs="Times New Roman"/>
          <w:b/>
          <w:bCs/>
          <w:color w:val="156082" w:themeColor="accent1"/>
          <w:kern w:val="0"/>
          <w14:ligatures w14:val="none"/>
        </w:rPr>
      </w:pPr>
      <w:r>
        <w:rPr>
          <w:rFonts w:ascii="Arial" w:eastAsia="Times New Roman" w:hAnsi="Arial" w:cs="Arial"/>
          <w:b/>
          <w:bCs/>
          <w:color w:val="156082" w:themeColor="accent1"/>
          <w:kern w:val="0"/>
          <w:sz w:val="22"/>
          <w:szCs w:val="22"/>
          <w14:ligatures w14:val="none"/>
        </w:rPr>
        <w:t xml:space="preserve">(7) </w:t>
      </w:r>
      <w:r w:rsidRPr="007B1425">
        <w:rPr>
          <w:rFonts w:ascii="Arial" w:eastAsia="Times New Roman" w:hAnsi="Arial" w:cs="Arial"/>
          <w:b/>
          <w:bCs/>
          <w:color w:val="156082" w:themeColor="accent1"/>
          <w:kern w:val="0"/>
          <w:sz w:val="22"/>
          <w:szCs w:val="22"/>
          <w14:ligatures w14:val="none"/>
        </w:rPr>
        <w:t>Protocol Concentration (HHI)</w:t>
      </w:r>
    </w:p>
    <w:p w14:paraId="42F8088F" w14:textId="77777777" w:rsidR="007B1425" w:rsidRPr="007B1425" w:rsidRDefault="007B1425" w:rsidP="007B1425">
      <w:pPr>
        <w:spacing w:before="240" w:after="240" w:line="240" w:lineRule="auto"/>
        <w:rPr>
          <w:rFonts w:ascii="Times New Roman" w:eastAsia="Times New Roman" w:hAnsi="Times New Roman" w:cs="Times New Roman"/>
          <w:kern w:val="0"/>
          <w14:ligatures w14:val="none"/>
        </w:rPr>
      </w:pPr>
      <w:r w:rsidRPr="007B1425">
        <w:rPr>
          <w:rFonts w:ascii="Arial" w:eastAsia="Times New Roman" w:hAnsi="Arial" w:cs="Arial"/>
          <w:b/>
          <w:bCs/>
          <w:color w:val="000000"/>
          <w:kern w:val="0"/>
          <w:sz w:val="22"/>
          <w:szCs w:val="22"/>
          <w14:ligatures w14:val="none"/>
        </w:rPr>
        <w:t xml:space="preserve">Interpretation: </w:t>
      </w:r>
      <w:r w:rsidRPr="007B1425">
        <w:rPr>
          <w:rFonts w:ascii="Arial" w:eastAsia="Times New Roman" w:hAnsi="Arial" w:cs="Arial"/>
          <w:color w:val="000000"/>
          <w:kern w:val="0"/>
          <w:sz w:val="22"/>
          <w:szCs w:val="22"/>
          <w14:ligatures w14:val="none"/>
        </w:rPr>
        <w:t>The Herfindahl Hirschman Index trends downward over time, indicating declining concentration and a healthier competitive environment. As liquidity grows, asset mixes evolve, and more chains become viable, TVL spreads across a larger set of protocols. Lower HHI reflects increasing diversification and reduced reliance on a small group of dominant players.</w:t>
      </w:r>
    </w:p>
    <w:p w14:paraId="406D2C1E" w14:textId="77777777" w:rsidR="007B1425" w:rsidRPr="007B1425" w:rsidRDefault="007B1425" w:rsidP="007B1425">
      <w:pPr>
        <w:spacing w:before="240" w:after="240" w:line="240" w:lineRule="auto"/>
        <w:rPr>
          <w:rFonts w:ascii="Times New Roman" w:eastAsia="Times New Roman" w:hAnsi="Times New Roman" w:cs="Times New Roman"/>
          <w:kern w:val="0"/>
          <w14:ligatures w14:val="none"/>
        </w:rPr>
      </w:pPr>
      <w:r w:rsidRPr="007B1425">
        <w:rPr>
          <w:rFonts w:ascii="Arial" w:eastAsia="Times New Roman" w:hAnsi="Arial" w:cs="Arial"/>
          <w:b/>
          <w:bCs/>
          <w:color w:val="000000"/>
          <w:kern w:val="0"/>
          <w:sz w:val="22"/>
          <w:szCs w:val="22"/>
          <w14:ligatures w14:val="none"/>
        </w:rPr>
        <w:t xml:space="preserve">Design: </w:t>
      </w:r>
      <w:r w:rsidRPr="007B1425">
        <w:rPr>
          <w:rFonts w:ascii="Arial" w:eastAsia="Times New Roman" w:hAnsi="Arial" w:cs="Arial"/>
          <w:color w:val="000000"/>
          <w:kern w:val="0"/>
          <w:sz w:val="22"/>
          <w:szCs w:val="22"/>
          <w14:ligatures w14:val="none"/>
        </w:rPr>
        <w:t xml:space="preserve">This visualization uses a single continuous line mark to show the evolution of the Herfindahl Hirschman Index over time. Position along the x axis encodes time, while the y axis represents HHI values. A simple, uncluttered design is used so that fluctuations in concentration </w:t>
      </w:r>
      <w:r w:rsidRPr="007B1425">
        <w:rPr>
          <w:rFonts w:ascii="Arial" w:eastAsia="Times New Roman" w:hAnsi="Arial" w:cs="Arial"/>
          <w:color w:val="000000"/>
          <w:kern w:val="0"/>
          <w:sz w:val="22"/>
          <w:szCs w:val="22"/>
          <w14:ligatures w14:val="none"/>
        </w:rPr>
        <w:lastRenderedPageBreak/>
        <w:t>are easy to detect. The line mark effectively captures long term trends in market concentration, revealing periods of increasing or decreasing dominance by top protocols. The decision to avoid categorical color channels keeps focus on the quantitative nature of the metric. This design helps communicate changes in ecosystem competitiveness as liquidity spreads across a growing number of participants.</w:t>
      </w:r>
    </w:p>
    <w:p w14:paraId="37425064" w14:textId="77777777" w:rsidR="007B1425" w:rsidRPr="007B1425" w:rsidRDefault="007B1425" w:rsidP="007B1425">
      <w:pPr>
        <w:spacing w:after="0" w:line="240" w:lineRule="auto"/>
        <w:rPr>
          <w:rFonts w:ascii="Times New Roman" w:eastAsia="Times New Roman" w:hAnsi="Times New Roman" w:cs="Times New Roman"/>
          <w:kern w:val="0"/>
          <w14:ligatures w14:val="none"/>
        </w:rPr>
      </w:pPr>
    </w:p>
    <w:p w14:paraId="02C9380A" w14:textId="77777777" w:rsidR="007B1425" w:rsidRDefault="007B1425"/>
    <w:sectPr w:rsidR="007B14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06CA2"/>
    <w:multiLevelType w:val="hybridMultilevel"/>
    <w:tmpl w:val="826AA81E"/>
    <w:lvl w:ilvl="0" w:tplc="97E235F6">
      <w:start w:val="1"/>
      <w:numFmt w:val="decimal"/>
      <w:lvlText w:val="(%1)"/>
      <w:lvlJc w:val="left"/>
      <w:pPr>
        <w:ind w:left="360" w:hanging="360"/>
      </w:pPr>
      <w:rPr>
        <w:rFonts w:ascii="Arial" w:hAnsi="Arial" w:cs="Arial"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08E0207"/>
    <w:multiLevelType w:val="hybridMultilevel"/>
    <w:tmpl w:val="D8C477E4"/>
    <w:lvl w:ilvl="0" w:tplc="493AA7DA">
      <w:start w:val="1"/>
      <w:numFmt w:val="decimal"/>
      <w:lvlText w:val="%1."/>
      <w:lvlJc w:val="left"/>
      <w:pPr>
        <w:ind w:left="720" w:hanging="360"/>
      </w:pPr>
      <w:rPr>
        <w:rFonts w:ascii="Arial" w:hAnsi="Arial" w:cs="Arial" w:hint="default"/>
        <w:i/>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FD0571"/>
    <w:multiLevelType w:val="hybridMultilevel"/>
    <w:tmpl w:val="1FBA9202"/>
    <w:lvl w:ilvl="0" w:tplc="E3EA4016">
      <w:start w:val="1"/>
      <w:numFmt w:val="decimal"/>
      <w:lvlText w:val="(%1)"/>
      <w:lvlJc w:val="left"/>
      <w:pPr>
        <w:ind w:left="720" w:hanging="360"/>
      </w:pPr>
      <w:rPr>
        <w:rFonts w:ascii="Arial" w:hAnsi="Arial" w:cs="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4144124">
    <w:abstractNumId w:val="1"/>
  </w:num>
  <w:num w:numId="2" w16cid:durableId="1501578280">
    <w:abstractNumId w:val="2"/>
  </w:num>
  <w:num w:numId="3" w16cid:durableId="2124111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425"/>
    <w:rsid w:val="007B1425"/>
    <w:rsid w:val="00A43237"/>
    <w:rsid w:val="00AA77A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EC774B8"/>
  <w15:chartTrackingRefBased/>
  <w15:docId w15:val="{18A6248C-4BA5-BE45-9BE5-12DE3CE33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4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4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4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4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4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4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4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4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425"/>
    <w:rPr>
      <w:rFonts w:eastAsiaTheme="majorEastAsia" w:cstheme="majorBidi"/>
      <w:color w:val="272727" w:themeColor="text1" w:themeTint="D8"/>
    </w:rPr>
  </w:style>
  <w:style w:type="paragraph" w:styleId="Title">
    <w:name w:val="Title"/>
    <w:basedOn w:val="Normal"/>
    <w:next w:val="Normal"/>
    <w:link w:val="TitleChar"/>
    <w:uiPriority w:val="10"/>
    <w:qFormat/>
    <w:rsid w:val="007B1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425"/>
    <w:pPr>
      <w:spacing w:before="160"/>
      <w:jc w:val="center"/>
    </w:pPr>
    <w:rPr>
      <w:i/>
      <w:iCs/>
      <w:color w:val="404040" w:themeColor="text1" w:themeTint="BF"/>
    </w:rPr>
  </w:style>
  <w:style w:type="character" w:customStyle="1" w:styleId="QuoteChar">
    <w:name w:val="Quote Char"/>
    <w:basedOn w:val="DefaultParagraphFont"/>
    <w:link w:val="Quote"/>
    <w:uiPriority w:val="29"/>
    <w:rsid w:val="007B1425"/>
    <w:rPr>
      <w:i/>
      <w:iCs/>
      <w:color w:val="404040" w:themeColor="text1" w:themeTint="BF"/>
    </w:rPr>
  </w:style>
  <w:style w:type="paragraph" w:styleId="ListParagraph">
    <w:name w:val="List Paragraph"/>
    <w:basedOn w:val="Normal"/>
    <w:uiPriority w:val="34"/>
    <w:qFormat/>
    <w:rsid w:val="007B1425"/>
    <w:pPr>
      <w:ind w:left="720"/>
      <w:contextualSpacing/>
    </w:pPr>
  </w:style>
  <w:style w:type="character" w:styleId="IntenseEmphasis">
    <w:name w:val="Intense Emphasis"/>
    <w:basedOn w:val="DefaultParagraphFont"/>
    <w:uiPriority w:val="21"/>
    <w:qFormat/>
    <w:rsid w:val="007B1425"/>
    <w:rPr>
      <w:i/>
      <w:iCs/>
      <w:color w:val="0F4761" w:themeColor="accent1" w:themeShade="BF"/>
    </w:rPr>
  </w:style>
  <w:style w:type="paragraph" w:styleId="IntenseQuote">
    <w:name w:val="Intense Quote"/>
    <w:basedOn w:val="Normal"/>
    <w:next w:val="Normal"/>
    <w:link w:val="IntenseQuoteChar"/>
    <w:uiPriority w:val="30"/>
    <w:qFormat/>
    <w:rsid w:val="007B1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425"/>
    <w:rPr>
      <w:i/>
      <w:iCs/>
      <w:color w:val="0F4761" w:themeColor="accent1" w:themeShade="BF"/>
    </w:rPr>
  </w:style>
  <w:style w:type="character" w:styleId="IntenseReference">
    <w:name w:val="Intense Reference"/>
    <w:basedOn w:val="DefaultParagraphFont"/>
    <w:uiPriority w:val="32"/>
    <w:qFormat/>
    <w:rsid w:val="007B1425"/>
    <w:rPr>
      <w:b/>
      <w:bCs/>
      <w:smallCaps/>
      <w:color w:val="0F4761" w:themeColor="accent1" w:themeShade="BF"/>
      <w:spacing w:val="5"/>
    </w:rPr>
  </w:style>
  <w:style w:type="paragraph" w:styleId="NormalWeb">
    <w:name w:val="Normal (Web)"/>
    <w:basedOn w:val="Normal"/>
    <w:uiPriority w:val="99"/>
    <w:semiHidden/>
    <w:unhideWhenUsed/>
    <w:rsid w:val="007B14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43237"/>
    <w:rPr>
      <w:color w:val="467886" w:themeColor="hyperlink"/>
      <w:u w:val="single"/>
    </w:rPr>
  </w:style>
  <w:style w:type="character" w:styleId="UnresolvedMention">
    <w:name w:val="Unresolved Mention"/>
    <w:basedOn w:val="DefaultParagraphFont"/>
    <w:uiPriority w:val="99"/>
    <w:semiHidden/>
    <w:unhideWhenUsed/>
    <w:rsid w:val="00A43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311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uyquangtr.github.io/RWA-websi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992</Words>
  <Characters>5657</Characters>
  <Application>Microsoft Office Word</Application>
  <DocSecurity>0</DocSecurity>
  <Lines>47</Lines>
  <Paragraphs>13</Paragraphs>
  <ScaleCrop>false</ScaleCrop>
  <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Sohn</dc:creator>
  <cp:keywords/>
  <dc:description/>
  <cp:lastModifiedBy>Erika Sohn</cp:lastModifiedBy>
  <cp:revision>2</cp:revision>
  <dcterms:created xsi:type="dcterms:W3CDTF">2025-12-11T02:32:00Z</dcterms:created>
  <dcterms:modified xsi:type="dcterms:W3CDTF">2025-12-11T02:36:00Z</dcterms:modified>
</cp:coreProperties>
</file>