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BTB (Bảng đệm địa chỉ đích nhánh BTB)</w:t>
        <w:br/>
        <w:t>Test Plan v2.2 — Bản OFFICIAL</w:t>
      </w:r>
    </w:p>
    <w:p>
      <w:pPr>
        <w:jc w:val="center"/>
      </w:pPr>
      <w:r>
        <w:rPr>
          <w:rFonts w:ascii="Arial" w:hAnsi="Arial"/>
          <w:b w:val="0"/>
          <w:i/>
          <w:sz w:val="20"/>
        </w:rPr>
        <w:t>Submodule Bảng đệm địa chỉ đích nhánh BTB — thuộc chương 2 (Scalar processor CVA6).</w:t>
      </w:r>
    </w:p>
    <w:p>
      <w:pPr>
        <w:jc w:val="center"/>
      </w:pPr>
      <w:r>
        <w:rPr>
          <w:rFonts w:ascii="Arial" w:hAnsi="Arial"/>
          <w:b w:val="0"/>
          <w:i/>
          <w:sz w:val="20"/>
        </w:rPr>
        <w:t>DUT: openhwgroup/cva6 — module BTB</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BTB (Bảng đệm địa chỉ đích nhánh BTB)</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#6/24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4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TC (TC0 reset+smoke, TC1-TC1 directed, TC2-TC3 hard, TC4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4 tính năng của Bảng đệm địa chỉ đích nhánh BTB.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(TC2-TC3) chia 4 family — back-pressure &amp; flow-control stress, exception/abort injection, race &amp; interleaving nhiều feature, boundary value &amp; overflow — và cover lại trong TC random sweep cuối (TC4).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Bảng đệm địa chỉ đích nhánh BTB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Bảng đệm địa chỉ đích nhánh BTB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4 tính năng của Bảng đệm địa chỉ đích nhánh BTB, đánh số F1.1..F1.4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Đọc target address theo PC</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Dùng bit địa chỉ PC dùng để đọc dự đoán để đọc entry tương ứng cho từng slot. Nếu valid và instr_scan nhận diện slot là JALR, dùng target_address.</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§2.3.4.d.iii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Cập nhật khi JALR mispredict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thông tin cập nhật BTB sau JALR sai dự đoán chỉ tạo khi JALR mispredict; ghi pc và target_address thật vào BTB cho lần fetch sau.</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§2.3.4.d.iii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p.40</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Chặn update khi debug mode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thông báo lõi đang ở chế độ gỡ lỗi active, BTB không cập nhật.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§2.3.4.d.iii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p.40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Cơ chế clear valid khi flush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xóa nội bộ có cơ chế clear valid bit, nhưng cấu hình hiện tại nối hằng 0.</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§2.3.4.d.iii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p.40</w:t>
            </w:r>
          </w:p>
        </w:tc>
      </w:tr>
    </w:tbl>
    <w:p/>
    <w:p>
      <w:r>
        <w:rPr>
          <w:rFonts w:ascii="Arial" w:hAnsi="Arial"/>
          <w:b/>
          <w:color w:val="1F4E79"/>
          <w:sz w:val="32"/>
        </w:rPr>
        <w:t>5. Chi tiết Testcase</w:t>
      </w:r>
    </w:p>
    <w:p>
      <w:r>
        <w:rPr>
          <w:rFonts w:ascii="Arial" w:hAnsi="Arial"/>
          <w:b/>
          <w:color w:val="1F4E79"/>
          <w:sz w:val="26"/>
        </w:rPr>
        <w:t>5.1. TC0 — Reset + Smoke — khởi tạo Bảng đệm địa chỉ đích nhánh BTB và kích hoạt F1.1 "Đọc target address theo PC"</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Bảng đệm địa chỉ đích nhánh BTB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"Đọc target address theo PC" theo kịch bản sau:</w:t>
              <w:br/>
              <w:t>Sau reset, ghi vào Bảng đệm địa chỉ đích nhánh BTB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cơ chế tính địa chỉ ảo + sinh byte enable. Kỳ vọng: địa chỉ = 0x8000_0100. byte enable = 4'b1111 (word). Hành vi: Dùng bit địa chỉ PC dùng để đọc dự đoán để đọc entry tương ứng cho từng slot. Nếu valid và instr_scan nhận diện slot là JALR, dùng target_address.</w:t>
            </w:r>
          </w:p>
        </w:tc>
      </w:tr>
    </w:tbl>
    <w:p/>
    <w:p>
      <w:r>
        <w:rPr>
          <w:rFonts w:ascii="Arial" w:hAnsi="Arial"/>
          <w:b/>
          <w:color w:val="1F4E79"/>
          <w:sz w:val="26"/>
        </w:rPr>
        <w:t>5.2. TC1 — Kiểm tra đầy đủ tính năng của Bảng đệm địa chỉ đích nhánh BTB (4 feature)</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Bảng đệm địa chỉ đích nhánh BTB các thành phần để tính địa chỉ:</w:t>
              <w:br/>
              <w:t xml:space="preserve">    - toán hạng A (base, từ thanh ghi) = 64'h8000_0000</w:t>
              <w:br/>
              <w:t xml:space="preserve">    - immediate = 0x100</w:t>
              <w:br/>
              <w:t xml:space="preserve">    - kích thước truy cập = word (4 byte)</w:t>
              <w:br/>
              <w:t>Đọc địa chỉ ảo + byte enable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tính địa chỉ ảo + sinh byte enable. Kỳ vọng: địa chỉ = 0x8000_0100. byte enable = 4'b1111 (word). Hành vi: Dùng bit địa chỉ PC dùng để đọc dự đoán để đọc entry tương ứng cho từng slot. Nếu valid và instr_scan nhận diện slot là JALR, dùng target_address.</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kích hoạt tín hiệu yêu cầu dự đoán với địa chỉ chương trình PC = 0x100. Đọc kết quả dự đoán ở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dự đoán hoạt động. Kỳ vọng: thông tin cập nhật BTB sau JALR sai dự đoán chỉ tạo khi JALR mispredict; ghi pc và target_address thật vào BTB cho lần fetch sau.</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B — F1.2]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Bảng đệm địa chỉ đích nhánh BTB.</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C — F1.3] Kế tiếp, kích hoạt tín hiệu cập nhật xung 1 chu kỳ với địa chỉ PC = 0x200 + thông tin kết quả nhánh tương ứng. Đọc trạng thái nội bộ sau cập nhật.</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cơ chế học/cập nhật. Kỳ vọng: Khi thông báo lõi đang ở chế độ gỡ lỗi active, BTB không cập nhật.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Lặp lại với 5 địa chỉ PC khác nhau để cover tổ hợp PC × kết quả dự đoán.</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đa dạng PC. Kỳ vọng: với mỗi PC, kết quả dự đoán phản ánh đúng trạng thái nội bộ của Bảng đệm địa chỉ đích nhánh BTB.</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Tiếp theo,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có cơ chế clear valid bit, nhưng cấu hình hiện tại nối hằng 0.</w:t>
            </w:r>
          </w:p>
        </w:tc>
      </w:tr>
    </w:tbl>
    <w:p/>
    <w:p>
      <w:r>
        <w:rPr>
          <w:rFonts w:ascii="Arial" w:hAnsi="Arial"/>
          <w:b/>
          <w:color w:val="1F4E79"/>
          <w:sz w:val="26"/>
        </w:rPr>
        <w:t>5.3. TC2 — [Boundary value &amp; overflow] Tag collision — 2 PC khác nhưng hash cùng index</w:t>
      </w:r>
    </w:p>
    <w:p>
      <w:r>
        <w:rPr>
          <w:rFonts w:ascii="Arial" w:hAnsi="Arial"/>
          <w:b w:val="0"/>
          <w:i/>
          <w:sz w:val="20"/>
        </w:rPr>
        <w:t>Cover: F1.1, F1.2,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btb_update_i tại pc=0x100 với target=0x500. Sau đó drive btb_update_i tại pc=0x100 + (1&lt;&lt;INDEX_BITS) (collision tag khác nhau).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thay thế entry khi index collide. Kỳ vọng: entry cũ bị overwrite; đọc lại tại pc cũ → btb_prediction_o.valid = 0 hoặc target sai dự đoán.</w:t>
            </w:r>
          </w:p>
        </w:tc>
      </w:tr>
    </w:tbl>
    <w:p/>
    <w:p>
      <w:r>
        <w:rPr>
          <w:rFonts w:ascii="Arial" w:hAnsi="Arial"/>
          <w:b/>
          <w:color w:val="1F4E79"/>
          <w:sz w:val="26"/>
        </w:rPr>
        <w:t>5.4. TC3 — [Race &amp; interleaving] Update BTB đồng thời với lookup</w:t>
      </w:r>
    </w:p>
    <w:p>
      <w:r>
        <w:rPr>
          <w:rFonts w:ascii="Arial" w:hAnsi="Arial"/>
          <w:b w:val="0"/>
          <w:i/>
          <w:sz w:val="20"/>
        </w:rPr>
        <w:t>Cover: F1.1, F1.2,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vpc_i = 0x400 đồng thời btb_update_i.valid = 1 cho pc = 0x400, target = 0x800.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write/read same-cycle. Kỳ vọng: hành vi consistent — hoặc đọc-trước-write hoặc đọc-sau-write, không undefined; document trong report.</w:t>
            </w:r>
          </w:p>
        </w:tc>
      </w:tr>
    </w:tbl>
    <w:p/>
    <w:p>
      <w:r>
        <w:rPr>
          <w:rFonts w:ascii="Arial" w:hAnsi="Arial"/>
          <w:b/>
          <w:color w:val="1F4E79"/>
          <w:sz w:val="26"/>
        </w:rPr>
        <w:t>5.5. TC4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Bảng đệm địa chỉ đích nhánh BTB.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4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r>
      <w:tr>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728"/>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5</w:t>
            </w:r>
          </w:p>
        </w:tc>
        <w:tc>
          <w:tcPr>
            <w:tcW w:type="dxa" w:w="1728"/>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728"/>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728"/>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BTB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cp_btb_btb_prediction_o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btb_prediction_o (Dự đoán BTB (2 slot))</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'btb_prediction_t'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BTB_testplan_v2_2.docx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