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某理工大学文件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tabs>
          <w:tab w:val="left" w:pos="320"/>
          <w:tab w:val="right" w:pos="8525"/>
        </w:tabs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ab/>
        <w:t>【待补：文号，某理工发〔2026〕N号】</w:t>
        <w:tab/>
        <w:t>签发人：</w:t>
      </w:r>
      <w:r>
        <w:rPr>
          <w:rFonts w:ascii="楷体_GB2312" w:hAnsi="楷体_GB2312" w:eastAsia="楷体_GB2312" w:cs="楷体_GB2312" w:hint="eastAsia"/>
          <w:sz w:val="32"/>
          <w:szCs w:val="32"/>
        </w:rPr>
        <w:t>王某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关于申请增加2027年硕士研究生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招生计划的请示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省教育厅：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我校现有硕士学位授权一级学科12个，2026年招收硕士研究生860人。近三年，我校新增国家级科研平台2个，导师队伍增加至610人，具备扩大培养规模的条件。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为满足区域产业发展对高层次工程技术人才的需求，我校申请2027年增加硕士研究生招生计划120名，主要用于电子信息、材料与化工两个专业学位类别。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妥否，请批示。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某理工大学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2026年10月26日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（联系人：赵某，联系电话：0000-66668888）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某理工大学党政办公室</w:t>
              <w:tab/>
              <w:t>【待补：印发日期】印发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