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napToGrid w:val="0"/>
        <w:spacing w:before="0" w:after="0" w:line="510" w:lineRule="exact"/>
        <w:ind w:firstLineChars="0" w:firstLine="0" w:leftChars="0" w:left="0" w:rightChars="0" w:right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某能源集团有限公司人力资源部</w:t>
        <w:br/>
      </w: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2026年工作总结</w:t>
      </w:r>
    </w:p>
    <w:p>
      <w:pPr>
        <w:widowControl w:val="0"/>
        <w:spacing w:before="0" w:after="0" w:line="510" w:lineRule="exact"/>
        <w:ind w:firstLineChars="200" w:firstLine="640" w:leftChars="0" w:left="0" w:rightChars="0" w:right="0"/>
        <w:jc w:val="both"/>
      </w:pPr>
    </w:p>
    <w:p>
      <w:pPr>
        <w:widowControl w:val="0"/>
        <w:spacing w:before="0" w:after="0" w:line="510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2026年，人力资源部围绕集团年度经营目标，重点抓好组织架构优化、人才队伍建设和薪酬绩效改革三项工作。现将全年工作总结如下。</w:t>
      </w:r>
    </w:p>
    <w:p>
      <w:pPr>
        <w:widowControl w:val="0"/>
        <w:spacing w:before="0" w:after="0" w:line="510" w:lineRule="exact"/>
        <w:ind w:firstLineChars="200" w:firstLine="640" w:leftChars="0" w:left="0" w:rightChars="0" w:right="0"/>
        <w:jc w:val="both"/>
      </w:pPr>
      <w:r>
        <w:rPr>
          <w:rFonts w:ascii="黑体" w:hAnsi="黑体" w:eastAsia="黑体" w:cs="黑体" w:hint="eastAsia"/>
          <w:sz w:val="32"/>
          <w:szCs w:val="32"/>
        </w:rPr>
        <w:t>一、主要工作及成效</w:t>
      </w:r>
    </w:p>
    <w:p>
      <w:pPr>
        <w:widowControl w:val="0"/>
        <w:spacing w:before="0" w:after="0" w:line="510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（一）优化组织架构。</w:t>
      </w:r>
      <w:r>
        <w:rPr>
          <w:rFonts w:ascii="Times New Roman" w:hAnsi="Times New Roman" w:eastAsia="仿宋_GB2312" w:cs="Times New Roman" w:hint="eastAsia"/>
          <w:sz w:val="32"/>
          <w:szCs w:val="32"/>
        </w:rPr>
        <w:t>完成本部部门职能梳理，撤并职能交叉部门2个，本部管理人员编制由186人压减至172人。</w:t>
      </w:r>
    </w:p>
    <w:p>
      <w:pPr>
        <w:widowControl w:val="0"/>
        <w:spacing w:before="0" w:after="0" w:line="510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（二）加强人才队伍建设。</w:t>
      </w:r>
      <w:r>
        <w:rPr>
          <w:rFonts w:ascii="Times New Roman" w:hAnsi="Times New Roman" w:eastAsia="仿宋_GB2312" w:cs="Times New Roman" w:hint="eastAsia"/>
          <w:sz w:val="32"/>
          <w:szCs w:val="32"/>
        </w:rPr>
        <w:t>全年招聘高校毕业生64人，其中硕士及以上学历38人；组织各类培训46期，参训4200人次。</w:t>
      </w:r>
    </w:p>
    <w:p>
      <w:pPr>
        <w:widowControl w:val="0"/>
        <w:spacing w:before="0" w:after="0" w:line="510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（三）推进薪酬绩效改革。</w:t>
      </w:r>
      <w:r>
        <w:rPr>
          <w:rFonts w:ascii="Times New Roman" w:hAnsi="Times New Roman" w:eastAsia="仿宋_GB2312" w:cs="Times New Roman" w:hint="eastAsia"/>
          <w:sz w:val="32"/>
          <w:szCs w:val="32"/>
        </w:rPr>
        <w:t>在3家所属企业开展经理层成员任期制和契约化管理试点，签订年度经营业绩责任书27份。</w:t>
      </w:r>
    </w:p>
    <w:p>
      <w:pPr>
        <w:widowControl w:val="0"/>
        <w:spacing w:before="0" w:after="0" w:line="510" w:lineRule="exact"/>
        <w:ind w:firstLineChars="200" w:firstLine="640" w:leftChars="0" w:left="0" w:rightChars="0" w:right="0"/>
        <w:jc w:val="both"/>
      </w:pPr>
      <w:r>
        <w:rPr>
          <w:rFonts w:ascii="黑体" w:hAnsi="黑体" w:eastAsia="黑体" w:cs="黑体" w:hint="eastAsia"/>
          <w:sz w:val="32"/>
          <w:szCs w:val="32"/>
        </w:rPr>
        <w:t>二、存在的问题</w:t>
      </w:r>
    </w:p>
    <w:p>
      <w:pPr>
        <w:widowControl w:val="0"/>
        <w:spacing w:before="0" w:after="0" w:line="510" w:lineRule="exact"/>
        <w:ind w:firstLineChars="200" w:firstLine="640" w:leftChars="0" w:left="0" w:rightChars="0" w:right="0"/>
        <w:jc w:val="both"/>
      </w:pPr>
      <w:r>
        <w:rPr>
          <w:rFonts w:ascii="Times New Roman" w:hAnsi="Times New Roman" w:eastAsia="仿宋_GB2312" w:cs="Times New Roman" w:hint="eastAsia"/>
          <w:sz w:val="32"/>
          <w:szCs w:val="32"/>
        </w:rPr>
        <w:t>一是部分所属企业绩效考核结果运用不充分，考核与薪酬挂钩不够紧密。二是专业技术人才梯队建设滞后，高级职称人员占比偏低。</w:t>
      </w:r>
    </w:p>
    <w:p>
      <w:pPr>
        <w:widowControl w:val="0"/>
        <w:spacing w:before="0" w:after="0" w:line="510" w:lineRule="exact"/>
        <w:ind w:firstLineChars="200" w:firstLine="640" w:leftChars="0" w:left="0" w:rightChars="0" w:right="0"/>
        <w:jc w:val="both"/>
      </w:pPr>
      <w:r>
        <w:rPr>
          <w:rFonts w:ascii="黑体" w:hAnsi="黑体" w:eastAsia="黑体" w:cs="黑体" w:hint="eastAsia"/>
          <w:sz w:val="32"/>
          <w:szCs w:val="32"/>
        </w:rPr>
        <w:t>三、2027年工作安排</w:t>
      </w:r>
    </w:p>
    <w:p>
      <w:pPr>
        <w:widowControl w:val="0"/>
        <w:spacing w:before="0" w:after="0" w:line="510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（一）全面推行经理层成员任期制和契约化管理。</w:t>
      </w:r>
    </w:p>
    <w:p>
      <w:pPr>
        <w:widowControl w:val="0"/>
        <w:spacing w:before="0" w:after="0" w:line="510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（二）完善专业技术人才职业发展通道。</w:t>
      </w:r>
    </w:p>
    <w:p>
      <w:pPr>
        <w:keepNext/>
        <w:widowControl w:val="0"/>
        <w:spacing w:before="0" w:after="0" w:line="510" w:lineRule="exact"/>
        <w:ind w:firstLineChars="200" w:firstLine="640" w:leftChars="0" w:left="0" w:rightChars="0" w:right="0"/>
        <w:jc w:val="both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（三）开展人力资源信息系统升级。</w:t>
      </w:r>
    </w:p>
    <w:p>
      <w:pPr>
        <w:keepNext/>
        <w:widowControl w:val="0"/>
        <w:spacing w:before="0" w:after="0" w:line="510" w:lineRule="exact"/>
        <w:ind w:firstLineChars="200" w:firstLine="640" w:leftChars="0" w:left="0" w:rightChars="0" w:right="0"/>
        <w:jc w:val="both"/>
      </w:pPr>
    </w:p>
    <w:p>
      <w:pPr>
        <w:keepNext/>
        <w:widowControl w:val="0"/>
        <w:spacing w:before="0" w:after="0" w:line="510" w:lineRule="exact"/>
        <w:ind w:firstLineChars="0" w:firstLine="0" w:leftChars="1200" w:left="3840" w:rightChars="0" w:right="0"/>
        <w:jc w:val="left"/>
      </w:pPr>
      <w:r>
        <w:rPr>
          <w:rFonts w:ascii="Times New Roman" w:hAnsi="Times New Roman" w:eastAsia="仿宋_GB2312" w:cs="Times New Roman" w:hint="eastAsia"/>
          <w:sz w:val="32"/>
          <w:szCs w:val="32"/>
        </w:rPr>
        <w:t>某能源集团有限公司人力资源部</w:t>
      </w:r>
    </w:p>
    <w:p>
      <w:pPr>
        <w:widowControl w:val="0"/>
        <w:spacing w:before="0" w:after="0" w:line="510" w:lineRule="exact"/>
        <w:ind w:firstLineChars="0" w:firstLine="0" w:leftChars="1400" w:left="4480" w:rightChars="0" w:right="0"/>
        <w:jc w:val="left"/>
      </w:pPr>
      <w:r>
        <w:rPr>
          <w:rFonts w:ascii="Times New Roman" w:hAnsi="Times New Roman" w:eastAsia="仿宋_GB2312" w:cs="Times New Roman" w:hint="eastAsia"/>
          <w:sz w:val="32"/>
          <w:szCs w:val="32"/>
        </w:rPr>
        <w:t>2026年12月20日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417" w:gutter="0"/>
      <w:cols w:space="720"/>
      <w:docGrid w:linePitch="510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variable"/>
  </w:font>
  <w:font w:name="楷体_GB2312">
    <w:altName w:val="楷体"/>
    <w:panose1 w:val="02010609030101010101"/>
    <w:charset w:val="86"/>
    <w:family w:val="modern"/>
    <w:pitch w:val="variable"/>
  </w:font>
  <w:font w:name="黑体">
    <w:altName w:val="SimHei"/>
    <w:panose1 w:val="02010609060101010101"/>
    <w:charset w:val="86"/>
    <w:family w:val="modern"/>
    <w:pitch w:val="variable"/>
  </w:font>
  <w:font w:name="方正小标宋简体">
    <w:altName w:val="宋体"/>
    <w:panose1 w:val="02000000000000000000"/>
    <w:charset w:val="86"/>
    <w:family w:val="auto"/>
    <w:pitch w:val="variable"/>
  </w:font>
  <w:font w:name="宋体">
    <w:altName w:val="SimSun"/>
    <w:panose1 w:val="02010600030101010101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pacing w:before="0" w:after="0" w:line="240" w:lineRule="auto"/>
      <w:ind w:firstLineChars="0" w:firstLine="0" w:leftChars="0" w:left="0" w:rightChars="100" w:right="28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pacing w:before="0" w:after="0" w:line="240" w:lineRule="auto"/>
      <w:ind w:firstLineChars="0" w:firstLine="0" w:leftChars="100" w:left="280" w:rightChars="0" w:right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仿宋_GB2312" w:cs="Times New Roman" w:hint="eastAsia"/>
        <w:sz w:val="32"/>
        <w:szCs w:val="32"/>
        <w:lang w:val="en-US" w:eastAsia="zh-CN" w:bidi="ar-SA"/>
      </w:rPr>
    </w:rPrDefault>
    <w:pPrDefault>
      <w:pPr>
        <w:spacing w:after="0" w:line="510" w:lineRule="exact" w:before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before="0" w:after="0" w:line="510" w:lineRule="exact"/>
      <w:jc w:val="both"/>
    </w:pPr>
    <w:rPr>
      <w:rFonts w:ascii="Times New Roman" w:hAnsi="Times New Roman" w:eastAsia="仿宋_GB2312" w:cs="Times New Roman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某能源集团有限公司人力资源部2026年工作总结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