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line="864" w:lineRule="exact" w:before="1984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color w:val="FF0000"/>
          <w:sz w:val="72"/>
          <w:szCs w:val="72"/>
        </w:rPr>
        <w:t>某市第一医院文件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pBdr>
          <w:bottom w:val="single" w:sz="12" w:space="11" w:color="FF0000"/>
        </w:pBdr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【待补：发文字号，行政代字某一院发〔2026〕N号】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napToGrid w:val="0"/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关于开展2026年医疗质量安全月活动的通知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各科室：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为落实医疗质量安全核心制度，医院决定于2026年11月开展医疗质量安全月活动。现将有关事项通知如下。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一、活动内容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（一）核心制度自查。</w:t>
      </w:r>
      <w:r>
        <w:rPr>
          <w:rFonts w:ascii="仿宋_GB2312" w:hAnsi="仿宋_GB2312" w:eastAsia="仿宋_GB2312" w:cs="仿宋_GB2312" w:hint="eastAsia"/>
          <w:sz w:val="32"/>
          <w:szCs w:val="32"/>
        </w:rPr>
        <w:t>各临床科室对照18项医疗质量安全核心制度开展自查，重点查首诊负责、三级查房、危急值报告制度落实情况。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（二）病历质量抽查。</w:t>
      </w:r>
      <w:r>
        <w:rPr>
          <w:rFonts w:ascii="仿宋_GB2312" w:hAnsi="仿宋_GB2312" w:eastAsia="仿宋_GB2312" w:cs="仿宋_GB2312" w:hint="eastAsia"/>
          <w:sz w:val="32"/>
          <w:szCs w:val="32"/>
        </w:rPr>
        <w:t>医务部会同质控科每周抽查运行病历和终末病历，抽查结果在院周会上通报。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二、工作要求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各科室主任为本科室活动第一责任人，于11月28日前将自查报告报医务部。</w:t>
      </w: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keepLines/>
        <w:spacing w:line="578" w:lineRule="exact" w:before="0" w:after="0"/>
        <w:ind w:left="4160" w:leftChars="130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某市第一医院</w:t>
      </w:r>
    </w:p>
    <w:p>
      <w:pPr>
        <w:keepLines/>
        <w:spacing w:line="578" w:lineRule="exact" w:before="0" w:after="0"/>
        <w:ind w:left="4160" w:leftChars="130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2026年10月30日</w:t>
      </w:r>
    </w:p>
    <w:tbl>
      <w:tblPr>
        <w:tblpPr w:leftFromText="0" w:rightFromText="0" w:topFromText="0" w:bottomFromText="0" w:vertAnchor="margin" w:horzAnchor="margin" w:tblpXSpec="center" w:tblpYSpec="bottom"/>
        <w:tblOverlap w:val="never"/>
        <w:tblW w:w="8845" w:type="dxa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6" w:space="0" w:color="000000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845"/>
      </w:tblGrid>
      <w:tr>
        <w:tc>
          <w:tcPr>
            <w:tcW w:type="dxa" w:w="8845"/>
          </w:tcPr>
          <w:p>
            <w:pPr>
              <w:tabs>
                <w:tab w:val="right" w:pos="8565"/>
              </w:tabs>
              <w:snapToGrid w:val="0"/>
              <w:spacing w:line="578" w:lineRule="exact" w:before="0" w:after="0"/>
              <w:ind w:left="280" w:right="0" w:firstLine="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某市第一医院院长办公室</w:t>
              <w:tab/>
              <w:t>【待补：印发日期】印发</w:t>
            </w:r>
          </w:p>
        </w:tc>
      </w:tr>
    </w:tbl>
    <w:p>
      <w:pPr>
        <w:snapToGrid w:val="0"/>
        <w:spacing w:line="20" w:lineRule="exact" w:before="0" w:after="0"/>
        <w:ind w:left="0" w:leftChars="0" w:right="0" w:rightChars="0" w:firstLine="0" w:firstLineChars="0"/>
      </w:pPr>
    </w:p>
    <w:sectPr w:rsidR="00FC693F" w:rsidRPr="0006063C" w:rsidSect="00034616">
      <w:footerReference w:type="default" r:id="rId9"/>
      <w:footerReference w:type="even" r:id="rId10"/>
      <w:pgSz w:w="11906" w:h="16838" w:code="9"/>
      <w:pgMar w:top="2098" w:right="1474" w:bottom="1984" w:left="1587" w:header="850" w:footer="1134" w:gutter="0"/>
      <w:cols w:space="720"/>
      <w:docGrid w:linePitch="579" w:type="linesAndChars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0" w:right="280" w:firstLine="0"/>
      <w:jc w:val="righ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280" w:right="0" w:firstLine="0"/>
      <w:jc w:val="lef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 w:hint="eastAsia"/>
        <w:sz w:val="32"/>
        <w:szCs w:val="3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autoSpaceDE w:val="0"/>
      <w:autoSpaceDN w:val="0"/>
      <w:spacing w:line="578" w:lineRule="exact" w:before="0" w:after="0"/>
      <w:jc w:val="both"/>
    </w:pPr>
    <w:rPr>
      <w:rFonts w:ascii="仿宋_GB2312" w:hAnsi="仿宋_GB2312" w:eastAsia="仿宋_GB2312" w:cs="仿宋_GB2312" w:hint="eastAsia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