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某市某医院心血管内科2026年工作总结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2026年1—11月，心血管内科门诊48652人次、出院3518人次，同比分别增长7.6%和6.5%；完成PCI 612台，同比增长13.8%；四级手术占比32.6%，较上年同期提高3.7个百分点。平均住院日7.2天，床位使用率96.4%，较上年同期下降1.7个百分点；CMI为【待补：2026年1—11月CMI，病案科提供】（上年同期1.08），次均住院费用为【待补：2026年1—11月次均住院费用及上年同期数，财务科提供】元。现将全年工作总结如下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一、主要工作和成效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（一）推进胸痛中心和介入救治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1月起启动胸痛中心复审准备，重点控制急诊PCI门球时间，目标为90分钟以内，全年实际门球时间为【待补：门球时间中位数或达标率，胸痛中心数据填报平台】。6月，胸痛中心通过省级复审【待核实：复审结果通知的名称和文号】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1—11月完成PCI 612台，上年同期为538台，同比增长13.8%。8月导管室更换DSA设备，装机期间介入手术暂停约半个月，其间部分急诊患者转往兄弟医院救治。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（二）开展左心耳封堵新技术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3月开展左心耳封堵术，3月18日完成首例手术，患者张某，男，72岁，术后第5天出院。全年完成左心耳封堵术约20台【待核实：准确台数，用户提供为“大概20来台”，请按手术麻醉系统统计核对】。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1—11月四级手术占比32.6%，上年同期为28.9%，提高3.7个百分点。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（三）抓好病历质量和医疗安全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上半年院级医疗质量检查中，科室病历甲级率为92.3%，未达到医院95%的要求。下半年科室质控小组每周抽查病历，整改后病历甲级率为【待补：下半年或1—11月病历甲级率，质控办提供】。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全年上报医疗安全不良事件11例，无严重不良事件。抗菌药物使用强度为【待补：使用强度数值，药学部或HIS提供】，控制在医院下达的指标以内。各季度患者满意度均在95%以上。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（四）开展心力衰竭出院随访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护士长牵头对心力衰竭出院患者开展随访，出院后第7天、第30天各电话随访一次，1—11月共随访430人次。心力衰竭患者30天再入院率为【待补：30天再入院率，信息科导出】。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（五）加强队伍建设和教学科研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全年2名规培结业医生留科工作，1名护士调出，现有医生18人、护士36人。带教进修医生6人、规培生24人次。获市卫生健康委科研课题立项1项，经费8万元；发表SCI论文2篇、中文核心期刊论文3篇。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二、存在的问题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（一）夜间急诊介入人手紧张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科室能独立完成急诊PCI的医生只有3名，夜间经常连续值班。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（二）导管室只有一间，排台紧张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科室现有导管室一间，手术排台排不开。8月更换DSA设备期间，介入手术暂停约半个月，部分急诊患者转往兄弟医院。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（三）心力衰竭病组DRG费用超支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医院推行DRG付费后，科室部分病组费用超支，主要是心力衰竭病组，住院日偏长【待补：超支病组数量、超支金额和心力衰竭病组平均住院日，医保办或病案科提供】。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三、2027年工作打算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（一）补充夜间急诊介入力量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拟安排2名年轻医生于2027年上半年参加介入资质考核，增加能独立完成急诊PCI的医生人数。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（二）申请增设导管室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拟向医院申请增设一间导管室，缓解手术排台紧张。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（三）控制心力衰竭病组费用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【待补：针对心力衰竭病组DRG超支和住院日偏长的具体措施】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（四）开设心脏康复门诊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拟开设心脏康复门诊，已选派1名护士外出进修。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800" w:leftChars="150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心血管内科</w:t>
      </w:r>
    </w:p>
    <w:p>
      <w:pPr>
        <w:keepLines/>
        <w:spacing w:line="578" w:lineRule="exact" w:before="0" w:after="0"/>
        <w:ind w:left="0" w:leftChars="0" w:right="640" w:rightChars="200" w:firstLine="0" w:firstLineChars="0"/>
        <w:jc w:val="right"/>
      </w:pPr>
      <w:r>
        <w:rPr>
          <w:rFonts w:ascii="仿宋_GB2312" w:hAnsi="仿宋_GB2312" w:eastAsia="仿宋_GB2312" w:cs="仿宋_GB2312" w:hint="eastAsia"/>
          <w:sz w:val="32"/>
          <w:szCs w:val="32"/>
        </w:rPr>
        <w:t>【待补：成文日期】</w:t>
      </w: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