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napToGrid w:val="0"/>
        <w:spacing w:line="864" w:lineRule="exact" w:before="1984" w:after="0"/>
        <w:ind w:left="0" w:leftChars="0" w:right="0" w:rightChars="0" w:firstLine="0" w:firstLineChars="0"/>
        <w:jc w:val="center"/>
      </w:pPr>
      <w:r>
        <w:rPr>
          <w:rFonts w:ascii="方正小标宋简体" w:hAnsi="方正小标宋简体" w:eastAsia="方正小标宋简体" w:cs="方正小标宋简体" w:hint="eastAsia"/>
          <w:color w:val="FF0000"/>
          <w:sz w:val="72"/>
          <w:szCs w:val="72"/>
        </w:rPr>
        <w:t>某区教育局文件</w:t>
      </w:r>
    </w:p>
    <w:p>
      <w:pPr>
        <w:spacing w:line="578" w:lineRule="exact" w:before="0" w:after="0"/>
        <w:ind w:left="0" w:leftChars="0" w:right="0" w:rightChars="0" w:firstLine="0" w:firstLineChars="0"/>
      </w:pPr>
    </w:p>
    <w:p>
      <w:pPr>
        <w:spacing w:line="578" w:lineRule="exact" w:before="0" w:after="0"/>
        <w:ind w:left="0" w:leftChars="0" w:right="0" w:rightChars="0" w:firstLine="0" w:firstLineChars="0"/>
      </w:pPr>
    </w:p>
    <w:p>
      <w:pPr>
        <w:pBdr>
          <w:bottom w:val="single" w:sz="12" w:space="11" w:color="FF0000"/>
        </w:pBdr>
        <w:spacing w:line="578" w:lineRule="exact" w:before="0" w:after="0"/>
        <w:ind w:left="0" w:leftChars="0" w:right="0" w:rightChars="0" w:firstLine="0" w:firstLineChars="0"/>
        <w:jc w:val="center"/>
      </w:pPr>
      <w:r>
        <w:rPr>
          <w:rFonts w:ascii="仿宋_GB2312" w:hAnsi="仿宋_GB2312" w:eastAsia="仿宋_GB2312" w:cs="仿宋_GB2312" w:hint="eastAsia"/>
          <w:sz w:val="32"/>
          <w:szCs w:val="32"/>
        </w:rPr>
        <w:t>某区教发〔2026〕12号</w:t>
      </w:r>
    </w:p>
    <w:p>
      <w:pPr>
        <w:spacing w:line="578" w:lineRule="exact" w:before="0" w:after="0"/>
        <w:ind w:left="0" w:leftChars="0" w:right="0" w:rightChars="0" w:firstLine="0" w:firstLineChars="0"/>
      </w:pPr>
    </w:p>
    <w:p>
      <w:pPr>
        <w:spacing w:line="578" w:lineRule="exact" w:before="0" w:after="0"/>
        <w:ind w:left="0" w:leftChars="0" w:right="0" w:rightChars="0" w:firstLine="0" w:firstLineChars="0"/>
      </w:pPr>
    </w:p>
    <w:p>
      <w:pPr>
        <w:snapToGrid w:val="0"/>
        <w:spacing w:line="578" w:lineRule="exact" w:before="0" w:after="0"/>
        <w:ind w:left="0" w:leftChars="0" w:right="0" w:rightChars="0" w:firstLine="0" w:firstLineChars="0"/>
        <w:jc w:val="center"/>
      </w:pPr>
      <w:r>
        <w:rPr>
          <w:rFonts w:ascii="方正小标宋简体" w:hAnsi="方正小标宋简体" w:eastAsia="方正小标宋简体" w:cs="方正小标宋简体" w:hint="eastAsia"/>
          <w:sz w:val="44"/>
          <w:szCs w:val="44"/>
        </w:rPr>
        <w:t>某区教育局关于开展2026年</w:t>
        <w:br/>
      </w:r>
      <w:r>
        <w:rPr>
          <w:rFonts w:ascii="方正小标宋简体" w:hAnsi="方正小标宋简体" w:eastAsia="方正小标宋简体" w:cs="方正小标宋简体" w:hint="eastAsia"/>
          <w:sz w:val="44"/>
          <w:szCs w:val="44"/>
        </w:rPr>
        <w:t>冬季校园安全检查的通知</w:t>
      </w:r>
    </w:p>
    <w:p>
      <w:pPr>
        <w:spacing w:line="578" w:lineRule="exact" w:before="0" w:after="0"/>
        <w:ind w:left="0" w:leftChars="0" w:right="0" w:rightChars="0" w:firstLine="0" w:firstLineChars="0"/>
      </w:pPr>
    </w:p>
    <w:p>
      <w:pPr>
        <w:spacing w:line="578" w:lineRule="exact" w:before="0" w:after="0"/>
        <w:ind w:left="0" w:leftChars="0" w:right="0" w:rightChars="0" w:firstLine="0" w:firstLineChars="0"/>
        <w:jc w:val="left"/>
      </w:pPr>
      <w:r>
        <w:rPr>
          <w:rFonts w:ascii="仿宋_GB2312" w:hAnsi="仿宋_GB2312" w:eastAsia="仿宋_GB2312" w:cs="仿宋_GB2312" w:hint="eastAsia"/>
          <w:sz w:val="32"/>
          <w:szCs w:val="32"/>
        </w:rPr>
        <w:t>各中小学、幼儿园：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</w:pPr>
      <w:r>
        <w:rPr>
          <w:rFonts w:ascii="仿宋_GB2312" w:hAnsi="仿宋_GB2312" w:eastAsia="仿宋_GB2312" w:cs="仿宋_GB2312" w:hint="eastAsia"/>
          <w:sz w:val="32"/>
          <w:szCs w:val="32"/>
        </w:rPr>
        <w:t>为全面筑牢校园安全防线，经研究，决定在全区开展2026年冬季校园安全检查。现将有关事项通知如下：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  <w:outlineLvl w:val="0"/>
      </w:pPr>
      <w:r>
        <w:rPr>
          <w:rFonts w:ascii="黑体" w:hAnsi="黑体" w:eastAsia="黑体" w:cs="黑体" w:hint="eastAsia"/>
          <w:sz w:val="32"/>
          <w:szCs w:val="32"/>
        </w:rPr>
        <w:t>一、总体要求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</w:pPr>
      <w:r>
        <w:rPr>
          <w:rFonts w:ascii="仿宋_GB2312" w:hAnsi="仿宋_GB2312" w:eastAsia="仿宋_GB2312" w:cs="仿宋_GB2312" w:hint="eastAsia"/>
          <w:sz w:val="32"/>
          <w:szCs w:val="32"/>
        </w:rPr>
        <w:t>冬季取暖用电增多、道路结冰、流感高发，是校园安全事故的高发期。部分学校仍存在重检查轻整改的问题。各学校要以此次检查为抓手，建设校园安全管理体系，运用信息化手段提升管理能力，打通教育、公安、应急管理等部门的隐患数据，实现隐患发现、整改、销号闭环管理。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  <w:outlineLvl w:val="0"/>
      </w:pPr>
      <w:r>
        <w:rPr>
          <w:rFonts w:ascii="黑体" w:hAnsi="黑体" w:eastAsia="黑体" w:cs="黑体" w:hint="eastAsia"/>
          <w:sz w:val="32"/>
          <w:szCs w:val="32"/>
        </w:rPr>
        <w:t>二、检查范围和重点内容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</w:pPr>
      <w:r>
        <w:rPr>
          <w:rFonts w:ascii="仿宋_GB2312" w:hAnsi="仿宋_GB2312" w:eastAsia="仿宋_GB2312" w:cs="仿宋_GB2312" w:hint="eastAsia"/>
          <w:sz w:val="32"/>
          <w:szCs w:val="32"/>
        </w:rPr>
        <w:t>本次检查覆盖全区82所中小学和幼儿园，重点检查以下四个方面：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  <w:outlineLvl w:val="1"/>
      </w:pPr>
      <w:r>
        <w:rPr>
          <w:rFonts w:ascii="楷体_GB2312" w:hAnsi="楷体_GB2312" w:eastAsia="楷体_GB2312" w:cs="楷体_GB2312" w:hint="eastAsia"/>
          <w:sz w:val="32"/>
          <w:szCs w:val="32"/>
        </w:rPr>
        <w:t>（一）校舍安全。</w:t>
      </w:r>
      <w:r>
        <w:rPr>
          <w:rFonts w:ascii="仿宋_GB2312" w:hAnsi="仿宋_GB2312" w:eastAsia="仿宋_GB2312" w:cs="仿宋_GB2312" w:hint="eastAsia"/>
          <w:sz w:val="32"/>
          <w:szCs w:val="32"/>
        </w:rPr>
        <w:t>重点检查教学楼、宿舍、食堂等建筑的屋面、外墙和围墙，排查冰雪荷载隐患。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  <w:outlineLvl w:val="1"/>
      </w:pPr>
      <w:r>
        <w:rPr>
          <w:rFonts w:ascii="楷体_GB2312" w:hAnsi="楷体_GB2312" w:eastAsia="楷体_GB2312" w:cs="楷体_GB2312" w:hint="eastAsia"/>
          <w:sz w:val="32"/>
          <w:szCs w:val="32"/>
        </w:rPr>
        <w:t>（二）消防安全。</w:t>
      </w:r>
      <w:r>
        <w:rPr>
          <w:rFonts w:ascii="仿宋_GB2312" w:hAnsi="仿宋_GB2312" w:eastAsia="仿宋_GB2312" w:cs="仿宋_GB2312" w:hint="eastAsia"/>
          <w:sz w:val="32"/>
          <w:szCs w:val="32"/>
        </w:rPr>
        <w:t>重点检查电气线路、取暖设备和消防设施，严禁在宿舍使用大功率电器。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  <w:outlineLvl w:val="1"/>
      </w:pPr>
      <w:r>
        <w:rPr>
          <w:rFonts w:ascii="楷体_GB2312" w:hAnsi="楷体_GB2312" w:eastAsia="楷体_GB2312" w:cs="楷体_GB2312" w:hint="eastAsia"/>
          <w:sz w:val="32"/>
          <w:szCs w:val="32"/>
        </w:rPr>
        <w:t>（三）食品安全。</w:t>
      </w:r>
      <w:r>
        <w:rPr>
          <w:rFonts w:ascii="仿宋_GB2312" w:hAnsi="仿宋_GB2312" w:eastAsia="仿宋_GB2312" w:cs="仿宋_GB2312" w:hint="eastAsia"/>
          <w:sz w:val="32"/>
          <w:szCs w:val="32"/>
        </w:rPr>
        <w:t>重点检查食堂进货查验、留样和从业人员健康证明。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  <w:outlineLvl w:val="1"/>
      </w:pPr>
      <w:r>
        <w:rPr>
          <w:rFonts w:ascii="楷体_GB2312" w:hAnsi="楷体_GB2312" w:eastAsia="楷体_GB2312" w:cs="楷体_GB2312" w:hint="eastAsia"/>
          <w:sz w:val="32"/>
          <w:szCs w:val="32"/>
        </w:rPr>
        <w:t>（四）交通安全。</w:t>
      </w:r>
      <w:r>
        <w:rPr>
          <w:rFonts w:ascii="仿宋_GB2312" w:hAnsi="仿宋_GB2312" w:eastAsia="仿宋_GB2312" w:cs="仿宋_GB2312" w:hint="eastAsia"/>
          <w:sz w:val="32"/>
          <w:szCs w:val="32"/>
        </w:rPr>
        <w:t>重点检查校车运行和上下学时段校门口交通秩序。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  <w:outlineLvl w:val="0"/>
      </w:pPr>
      <w:r>
        <w:rPr>
          <w:rFonts w:ascii="黑体" w:hAnsi="黑体" w:eastAsia="黑体" w:cs="黑体" w:hint="eastAsia"/>
          <w:sz w:val="32"/>
          <w:szCs w:val="32"/>
        </w:rPr>
        <w:t>三、时间安排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  <w:outlineLvl w:val="1"/>
      </w:pPr>
      <w:r>
        <w:rPr>
          <w:rFonts w:ascii="楷体_GB2312" w:hAnsi="楷体_GB2312" w:eastAsia="楷体_GB2312" w:cs="楷体_GB2312" w:hint="eastAsia"/>
          <w:sz w:val="32"/>
          <w:szCs w:val="32"/>
        </w:rPr>
        <w:t>（一）学校自查。</w:t>
      </w:r>
      <w:r>
        <w:rPr>
          <w:rFonts w:ascii="仿宋_GB2312" w:hAnsi="仿宋_GB2312" w:eastAsia="仿宋_GB2312" w:cs="仿宋_GB2312" w:hint="eastAsia"/>
          <w:sz w:val="32"/>
          <w:szCs w:val="32"/>
        </w:rPr>
        <w:t>各学校于2026年11月5日前完成自查，形成隐患清单。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  <w:outlineLvl w:val="1"/>
      </w:pPr>
      <w:r>
        <w:rPr>
          <w:rFonts w:ascii="楷体_GB2312" w:hAnsi="楷体_GB2312" w:eastAsia="楷体_GB2312" w:cs="楷体_GB2312" w:hint="eastAsia"/>
          <w:sz w:val="32"/>
          <w:szCs w:val="32"/>
        </w:rPr>
        <w:t>（二）区级抽查。</w:t>
      </w:r>
      <w:r>
        <w:rPr>
          <w:rFonts w:ascii="仿宋_GB2312" w:hAnsi="仿宋_GB2312" w:eastAsia="仿宋_GB2312" w:cs="仿宋_GB2312" w:hint="eastAsia"/>
          <w:sz w:val="32"/>
          <w:szCs w:val="32"/>
        </w:rPr>
        <w:t>2026年11月10日至11月30日，区教育局会同区应急管理局、区市场监管局组成联合检查组，按不低于30%的比例开展抽查。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  <w:outlineLvl w:val="1"/>
      </w:pPr>
      <w:r>
        <w:rPr>
          <w:rFonts w:ascii="楷体_GB2312" w:hAnsi="楷体_GB2312" w:eastAsia="楷体_GB2312" w:cs="楷体_GB2312" w:hint="eastAsia"/>
          <w:sz w:val="32"/>
          <w:szCs w:val="32"/>
        </w:rPr>
        <w:t>（三）集中整改。</w:t>
      </w:r>
      <w:r>
        <w:rPr>
          <w:rFonts w:ascii="仿宋_GB2312" w:hAnsi="仿宋_GB2312" w:eastAsia="仿宋_GB2312" w:cs="仿宋_GB2312" w:hint="eastAsia"/>
          <w:sz w:val="32"/>
          <w:szCs w:val="32"/>
        </w:rPr>
        <w:t>抽查发现的问题，相关学校于2026年12月15日前整改到位。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  <w:outlineLvl w:val="0"/>
      </w:pPr>
      <w:r>
        <w:rPr>
          <w:rFonts w:ascii="黑体" w:hAnsi="黑体" w:eastAsia="黑体" w:cs="黑体" w:hint="eastAsia"/>
          <w:sz w:val="32"/>
          <w:szCs w:val="32"/>
        </w:rPr>
        <w:t>四、工作要求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  <w:outlineLvl w:val="1"/>
      </w:pPr>
      <w:r>
        <w:rPr>
          <w:rFonts w:ascii="楷体_GB2312" w:hAnsi="楷体_GB2312" w:eastAsia="楷体_GB2312" w:cs="楷体_GB2312" w:hint="eastAsia"/>
          <w:sz w:val="32"/>
          <w:szCs w:val="32"/>
        </w:rPr>
        <w:t>（一）加强组织领导。</w:t>
      </w:r>
      <w:r>
        <w:rPr>
          <w:rFonts w:ascii="仿宋_GB2312" w:hAnsi="仿宋_GB2312" w:eastAsia="仿宋_GB2312" w:cs="仿宋_GB2312" w:hint="eastAsia"/>
          <w:sz w:val="32"/>
          <w:szCs w:val="32"/>
        </w:rPr>
        <w:t>各学校要成立由校长任组长的安全检查工作专班，细化检查内容，层层压实责任。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  <w:outlineLvl w:val="1"/>
      </w:pPr>
      <w:r>
        <w:rPr>
          <w:rFonts w:ascii="楷体_GB2312" w:hAnsi="楷体_GB2312" w:eastAsia="楷体_GB2312" w:cs="楷体_GB2312" w:hint="eastAsia"/>
          <w:sz w:val="32"/>
          <w:szCs w:val="32"/>
        </w:rPr>
        <w:t>（二）强化家校协同。</w:t>
      </w:r>
      <w:r>
        <w:rPr>
          <w:rFonts w:ascii="仿宋_GB2312" w:hAnsi="仿宋_GB2312" w:eastAsia="仿宋_GB2312" w:cs="仿宋_GB2312" w:hint="eastAsia"/>
          <w:sz w:val="32"/>
          <w:szCs w:val="32"/>
        </w:rPr>
        <w:t>要通过家长会、致家长的一封信等方式，向家长宣传冬季安全知识。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  <w:outlineLvl w:val="1"/>
      </w:pPr>
      <w:r>
        <w:rPr>
          <w:rFonts w:ascii="楷体_GB2312" w:hAnsi="楷体_GB2312" w:eastAsia="楷体_GB2312" w:cs="楷体_GB2312" w:hint="eastAsia"/>
          <w:sz w:val="32"/>
          <w:szCs w:val="32"/>
        </w:rPr>
        <w:t>（三）做好经费保障。</w:t>
      </w:r>
      <w:r>
        <w:rPr>
          <w:rFonts w:ascii="仿宋_GB2312" w:hAnsi="仿宋_GB2312" w:eastAsia="仿宋_GB2312" w:cs="仿宋_GB2312" w:hint="eastAsia"/>
          <w:sz w:val="32"/>
          <w:szCs w:val="32"/>
        </w:rPr>
        <w:t>各学校可安排安全专项经费3万～5万元，用于隐患整改和设施更新。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  <w:outlineLvl w:val="1"/>
      </w:pPr>
      <w:r>
        <w:rPr>
          <w:rFonts w:ascii="楷体_GB2312" w:hAnsi="楷体_GB2312" w:eastAsia="楷体_GB2312" w:cs="楷体_GB2312" w:hint="eastAsia"/>
          <w:sz w:val="32"/>
          <w:szCs w:val="32"/>
        </w:rPr>
        <w:t>（四）加强宣传教育。</w:t>
      </w:r>
      <w:r>
        <w:rPr>
          <w:rFonts w:ascii="仿宋_GB2312" w:hAnsi="仿宋_GB2312" w:eastAsia="仿宋_GB2312" w:cs="仿宋_GB2312" w:hint="eastAsia"/>
          <w:sz w:val="32"/>
          <w:szCs w:val="32"/>
        </w:rPr>
        <w:t>各学校要在寒假前开展一次安全教育主题班会和应急疏散演练，切实提高师生的安全意识和自救互救能力。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  <w:outlineLvl w:val="1"/>
      </w:pPr>
      <w:r>
        <w:rPr>
          <w:rFonts w:ascii="楷体_GB2312" w:hAnsi="楷体_GB2312" w:eastAsia="楷体_GB2312" w:cs="楷体_GB2312" w:hint="eastAsia"/>
          <w:sz w:val="32"/>
          <w:szCs w:val="32"/>
        </w:rPr>
        <w:t>（五）及时报送信息。</w:t>
      </w:r>
      <w:r>
        <w:rPr>
          <w:rFonts w:ascii="仿宋_GB2312" w:hAnsi="仿宋_GB2312" w:eastAsia="仿宋_GB2312" w:cs="仿宋_GB2312" w:hint="eastAsia"/>
          <w:sz w:val="32"/>
          <w:szCs w:val="32"/>
        </w:rPr>
        <w:t>各学校于2026年11月5日前将自查报告和隐患清单报区教育局安全科。</w:t>
      </w:r>
    </w:p>
    <w:p>
      <w:pPr>
        <w:keepNext/>
        <w:spacing w:line="578" w:lineRule="exact" w:before="0" w:after="0"/>
        <w:ind w:left="0" w:leftChars="0" w:right="0" w:rightChars="0" w:firstLine="640" w:firstLineChars="200"/>
        <w:jc w:val="both"/>
      </w:pPr>
      <w:r>
        <w:rPr>
          <w:rFonts w:ascii="仿宋_GB2312" w:hAnsi="仿宋_GB2312" w:eastAsia="仿宋_GB2312" w:cs="仿宋_GB2312" w:hint="eastAsia"/>
          <w:sz w:val="32"/>
          <w:szCs w:val="32"/>
        </w:rPr>
        <w:t>联系人：区教育局安全科李某</w:t>
      </w:r>
    </w:p>
    <w:p>
      <w:pPr>
        <w:keepNext/>
        <w:spacing w:line="578" w:lineRule="exact" w:before="0" w:after="0"/>
        <w:ind w:left="0" w:leftChars="0" w:right="0" w:rightChars="0" w:firstLine="0" w:firstLineChars="0"/>
      </w:pPr>
    </w:p>
    <w:p>
      <w:pPr>
        <w:keepNext/>
        <w:spacing w:line="578" w:lineRule="exact" w:before="0" w:after="0"/>
        <w:ind w:left="0" w:leftChars="0" w:right="0" w:rightChars="0" w:firstLine="0" w:firstLineChars="0"/>
      </w:pPr>
    </w:p>
    <w:p>
      <w:pPr>
        <w:keepNext/>
        <w:keepLines/>
        <w:spacing w:line="578" w:lineRule="exact" w:before="0" w:after="0"/>
        <w:ind w:left="4320" w:leftChars="1350" w:right="0" w:rightChars="0" w:firstLine="0" w:firstLineChars="0"/>
        <w:jc w:val="center"/>
      </w:pPr>
      <w:r>
        <w:rPr>
          <w:rFonts w:ascii="仿宋_GB2312" w:hAnsi="仿宋_GB2312" w:eastAsia="仿宋_GB2312" w:cs="仿宋_GB2312" w:hint="eastAsia"/>
          <w:sz w:val="32"/>
          <w:szCs w:val="32"/>
        </w:rPr>
        <w:t>某区教育局</w:t>
      </w:r>
    </w:p>
    <w:p>
      <w:pPr>
        <w:keepLines/>
        <w:spacing w:line="578" w:lineRule="exact" w:before="0" w:after="0"/>
        <w:ind w:left="4320" w:leftChars="1350" w:right="0" w:rightChars="0" w:firstLine="0" w:firstLineChars="0"/>
        <w:jc w:val="center"/>
      </w:pPr>
      <w:r>
        <w:rPr>
          <w:rFonts w:ascii="仿宋_GB2312" w:hAnsi="仿宋_GB2312" w:eastAsia="仿宋_GB2312" w:cs="仿宋_GB2312" w:hint="eastAsia"/>
          <w:sz w:val="32"/>
          <w:szCs w:val="32"/>
        </w:rPr>
        <w:t>2026年10月9日</w:t>
      </w:r>
    </w:p>
    <w:tbl>
      <w:tblPr>
        <w:tblpPr w:leftFromText="0" w:rightFromText="0" w:topFromText="0" w:bottomFromText="0" w:vertAnchor="margin" w:horzAnchor="margin" w:tblpXSpec="center" w:tblpYSpec="bottom"/>
        <w:tblOverlap w:val="never"/>
        <w:tblW w:w="8845" w:type="dx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single" w:sz="6" w:space="0" w:color="000000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845"/>
      </w:tblGrid>
      <w:tr>
        <w:tc>
          <w:tcPr>
            <w:tcW w:type="dxa" w:w="8845"/>
          </w:tcPr>
          <w:p>
            <w:pPr>
              <w:tabs>
                <w:tab w:val="right" w:pos="8565"/>
              </w:tabs>
              <w:snapToGrid w:val="0"/>
              <w:spacing w:line="578" w:lineRule="exact" w:before="0" w:after="0"/>
              <w:ind w:left="280" w:right="0" w:firstLine="0"/>
              <w:jc w:val="left"/>
            </w:pPr>
            <w:r>
              <w:rPr>
                <w:rFonts w:ascii="仿宋_GB2312" w:hAnsi="仿宋_GB2312" w:eastAsia="仿宋_GB2312" w:cs="仿宋_GB2312" w:hint="eastAsia"/>
                <w:sz w:val="28"/>
                <w:szCs w:val="28"/>
              </w:rPr>
              <w:t>某区教育局办公室</w:t>
              <w:tab/>
              <w:t>2026年10月9日印发</w:t>
            </w:r>
          </w:p>
        </w:tc>
      </w:tr>
    </w:tbl>
    <w:p>
      <w:pPr>
        <w:snapToGrid w:val="0"/>
        <w:spacing w:line="20" w:lineRule="exact" w:before="0" w:after="0"/>
        <w:ind w:left="0" w:leftChars="0" w:right="0" w:rightChars="0" w:firstLine="0" w:firstLineChars="0"/>
      </w:pPr>
    </w:p>
    <w:sectPr w:rsidR="00FC693F" w:rsidRPr="0006063C" w:rsidSect="00034616">
      <w:footerReference w:type="default" r:id="rId9"/>
      <w:footerReference w:type="even" r:id="rId10"/>
      <w:pgSz w:w="11906" w:h="16838" w:code="9"/>
      <w:pgMar w:top="2098" w:right="1474" w:bottom="1984" w:left="1587" w:header="850" w:footer="1134" w:gutter="0"/>
      <w:cols w:space="720"/>
      <w:docGrid w:linePitch="579" w:type="linesAndChars" w:charSpace="-84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napToGrid w:val="0"/>
      <w:spacing w:line="240" w:lineRule="auto" w:before="0" w:after="260"/>
      <w:ind w:left="0" w:right="280" w:firstLine="0"/>
      <w:jc w:val="right"/>
    </w:pPr>
    <w:r>
      <w:rPr>
        <w:rFonts w:ascii="宋体" w:hAnsi="宋体" w:eastAsia="宋体" w:cs="宋体" w:hint="eastAsia"/>
        <w:sz w:val="28"/>
        <w:szCs w:val="28"/>
      </w:rPr>
      <w:t xml:space="preserve">— </w:t>
    </w:r>
    <w:r>
      <w:rPr>
        <w:rFonts w:ascii="宋体" w:hAnsi="宋体" w:eastAsia="宋体" w:cs="宋体" w:hint="eastAsia"/>
        <w:sz w:val="28"/>
        <w:szCs w:val="28"/>
      </w:rPr>
      <w:fldChar w:fldCharType="begin"/>
    </w:r>
    <w:r>
      <w:rPr>
        <w:rFonts w:ascii="宋体" w:hAnsi="宋体" w:eastAsia="宋体" w:cs="宋体" w:hint="eastAsia"/>
        <w:sz w:val="28"/>
        <w:szCs w:val="28"/>
      </w:rPr>
      <w:instrText xml:space="preserve"> PAGE </w:instrText>
    </w:r>
    <w:r>
      <w:rPr>
        <w:rFonts w:ascii="宋体" w:hAnsi="宋体" w:eastAsia="宋体" w:cs="宋体" w:hint="eastAsia"/>
        <w:sz w:val="28"/>
        <w:szCs w:val="28"/>
      </w:rPr>
      <w:fldChar w:fldCharType="separate"/>
    </w:r>
    <w:r>
      <w:rPr>
        <w:rFonts w:ascii="宋体" w:hAnsi="宋体" w:eastAsia="宋体" w:cs="宋体" w:hint="eastAsia"/>
        <w:sz w:val="28"/>
        <w:szCs w:val="28"/>
      </w:rPr>
      <w:t>1</w:t>
    </w:r>
    <w:r>
      <w:rPr>
        <w:rFonts w:ascii="宋体" w:hAnsi="宋体" w:eastAsia="宋体" w:cs="宋体" w:hint="eastAsia"/>
        <w:sz w:val="28"/>
        <w:szCs w:val="28"/>
      </w:rPr>
      <w:fldChar w:fldCharType="end"/>
    </w:r>
    <w:r>
      <w:rPr>
        <w:rFonts w:ascii="宋体" w:hAnsi="宋体" w:eastAsia="宋体" w:cs="宋体" w:hint="eastAsia"/>
        <w:sz w:val="28"/>
        <w:szCs w:val="28"/>
      </w:rPr>
      <w:t xml:space="preserve"> —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napToGrid w:val="0"/>
      <w:spacing w:line="240" w:lineRule="auto" w:before="0" w:after="260"/>
      <w:ind w:left="280" w:right="0" w:firstLine="0"/>
      <w:jc w:val="left"/>
    </w:pPr>
    <w:r>
      <w:rPr>
        <w:rFonts w:ascii="宋体" w:hAnsi="宋体" w:eastAsia="宋体" w:cs="宋体" w:hint="eastAsia"/>
        <w:sz w:val="28"/>
        <w:szCs w:val="28"/>
      </w:rPr>
      <w:t xml:space="preserve">— </w:t>
    </w:r>
    <w:r>
      <w:rPr>
        <w:rFonts w:ascii="宋体" w:hAnsi="宋体" w:eastAsia="宋体" w:cs="宋体" w:hint="eastAsia"/>
        <w:sz w:val="28"/>
        <w:szCs w:val="28"/>
      </w:rPr>
      <w:fldChar w:fldCharType="begin"/>
    </w:r>
    <w:r>
      <w:rPr>
        <w:rFonts w:ascii="宋体" w:hAnsi="宋体" w:eastAsia="宋体" w:cs="宋体" w:hint="eastAsia"/>
        <w:sz w:val="28"/>
        <w:szCs w:val="28"/>
      </w:rPr>
      <w:instrText xml:space="preserve"> PAGE </w:instrText>
    </w:r>
    <w:r>
      <w:rPr>
        <w:rFonts w:ascii="宋体" w:hAnsi="宋体" w:eastAsia="宋体" w:cs="宋体" w:hint="eastAsia"/>
        <w:sz w:val="28"/>
        <w:szCs w:val="28"/>
      </w:rPr>
      <w:fldChar w:fldCharType="separate"/>
    </w:r>
    <w:r>
      <w:rPr>
        <w:rFonts w:ascii="宋体" w:hAnsi="宋体" w:eastAsia="宋体" w:cs="宋体" w:hint="eastAsia"/>
        <w:sz w:val="28"/>
        <w:szCs w:val="28"/>
      </w:rPr>
      <w:t>1</w:t>
    </w:r>
    <w:r>
      <w:rPr>
        <w:rFonts w:ascii="宋体" w:hAnsi="宋体" w:eastAsia="宋体" w:cs="宋体" w:hint="eastAsia"/>
        <w:sz w:val="28"/>
        <w:szCs w:val="28"/>
      </w:rPr>
      <w:fldChar w:fldCharType="end"/>
    </w:r>
    <w:r>
      <w:rPr>
        <w:rFonts w:ascii="宋体" w:hAnsi="宋体" w:eastAsia="宋体" w:cs="宋体" w:hint="eastAsia"/>
        <w:sz w:val="28"/>
        <w:szCs w:val="28"/>
      </w:rPr>
      <w:t xml:space="preserve"> —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仿宋_GB2312" w:hAnsi="仿宋_GB2312" w:eastAsia="仿宋_GB2312" w:cs="仿宋_GB2312" w:hint="eastAsia"/>
        <w:sz w:val="32"/>
        <w:szCs w:val="3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autoSpaceDE w:val="0"/>
      <w:autoSpaceDN w:val="0"/>
      <w:spacing w:line="578" w:lineRule="exact" w:before="0" w:after="0"/>
      <w:jc w:val="both"/>
    </w:pPr>
    <w:rPr>
      <w:rFonts w:ascii="仿宋_GB2312" w:hAnsi="仿宋_GB2312" w:eastAsia="仿宋_GB2312" w:cs="仿宋_GB2312" w:hint="eastAsia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