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sz w:val="32"/>
        </w:rPr>
        <w:t>000036</w:t>
      </w:r>
    </w:p>
    <w:p>
      <w:r>
        <w:rPr>
          <w:rFonts w:ascii="黑体" w:hAnsi="黑体" w:eastAsia="黑体"/>
          <w:sz w:val="32"/>
        </w:rPr>
        <w:t>秘密★1年</w:t>
      </w:r>
    </w:p>
    <w:p/>
    <w:p>
      <w:pPr>
        <w:jc w:val="center"/>
      </w:pPr>
      <w:r>
        <w:rPr>
          <w:rFonts w:ascii="方正小标宋简体" w:hAnsi="方正小标宋简体" w:eastAsia="方正小标宋简体"/>
          <w:b w:val="0"/>
          <w:color w:val="FF0000"/>
          <w:sz w:val="52"/>
        </w:rPr>
        <w:t>清河区房屋征收补偿办公室文件</w:t>
      </w:r>
    </w:p>
    <w:p>
      <w:pPr>
        <w:jc w:val="left"/>
        <w:pBdr>
          <w:bottom w:val="single" w:sz="12" w:space="1" w:color="FF0000"/>
        </w:pBdr>
      </w:pPr>
      <w:r>
        <w:rPr>
          <w:rFonts w:ascii="仿宋_GB2312" w:hAnsi="仿宋_GB2312" w:eastAsia="仿宋_GB2312"/>
          <w:sz w:val="32"/>
        </w:rPr>
        <w:t>清征补〔2026〕12号</w:t>
      </w:r>
      <w:r>
        <w:rPr>
          <w:rFonts w:ascii="仿宋_GB2312" w:hAnsi="仿宋_GB2312" w:eastAsia="仿宋_GB2312"/>
          <w:sz w:val="32"/>
        </w:rPr>
        <w:t xml:space="preserve">　　　　　　签发人：</w:t>
      </w:r>
      <w:r>
        <w:rPr>
          <w:rFonts w:ascii="楷体_GB2312" w:hAnsi="楷体_GB2312" w:eastAsia="楷体_GB2312"/>
          <w:sz w:val="32"/>
        </w:rPr>
        <w:t>赵立新</w:t>
      </w:r>
    </w:p>
    <w:p/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关于清河区柳堤片区房屋征收补偿情况的报告</w:t>
      </w:r>
    </w:p>
    <w:p/>
    <w:p>
      <w:r>
        <w:rPr>
          <w:rFonts w:ascii="仿宋_GB2312" w:hAnsi="仿宋_GB2312" w:eastAsia="仿宋_GB2312"/>
          <w:sz w:val="32"/>
        </w:rPr>
        <w:t>清河区人民政府：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按照区政府关于推进柳堤片区旧城改造的部署，我办自2026年3月启动柳堤片区房屋征收补偿工作。现将有关情况报告如下。</w:t>
      </w:r>
    </w:p>
    <w:p>
      <w:r>
        <w:rPr>
          <w:rFonts w:ascii="黑体" w:hAnsi="黑体" w:eastAsia="黑体"/>
          <w:sz w:val="32"/>
        </w:rPr>
        <w:t>一、基本情况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柳堤片区征收范围东至柳堤路、西至清河大道、南至沿河路、北至育才街，规划用地38.6公顷。需征收住宅1286户、非住宅47户（含商铺、小微企业和2家集体所有制单位）。征收补偿方案经区政府常务会议研究通过，并按程序公示、征求意见，社会稳定风险评估结论为中风险。</w:t>
      </w:r>
    </w:p>
    <w:p>
      <w:r>
        <w:rPr>
          <w:rFonts w:ascii="黑体" w:hAnsi="黑体" w:eastAsia="黑体"/>
          <w:sz w:val="32"/>
        </w:rPr>
        <w:t>二、补偿安置进展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截至2026年10月15日，已签订补偿协议的住宅1105户，签约率85.9%；非住宅已签约31户。住宅货币补偿评估均价为18600元/平方米，另给予搬迁补助、临时安置补助和提前搬迁奖励；选择产权调换的412户，安置房源已落实。项目总预算28.4亿元，已拨付19.7亿元，资金缺口8.7亿元。</w:t>
      </w:r>
    </w:p>
    <w:p>
      <w:r>
        <w:rPr>
          <w:rFonts w:ascii="黑体" w:hAnsi="黑体" w:eastAsia="黑体"/>
          <w:sz w:val="32"/>
        </w:rPr>
        <w:t>三、存在的困难和风险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一是尚有181户住宅未签约，其中12户为多年信访户，对补偿标准和安置地段有不同意见，个别户存在聚集上访的风险。二是资金缺口较大，影响后续兑付进度，已有部分被征收人因补偿款兑付时间提出质疑。三是片区内有3处历史遗留的无证建筑，权属认定存在争议，处置难度大。四是网络上已出现关于补偿标准的不实言论，舆情处置压力较大。</w:t>
      </w:r>
    </w:p>
    <w:p>
      <w:r>
        <w:rPr>
          <w:rFonts w:ascii="黑体" w:hAnsi="黑体" w:eastAsia="黑体"/>
          <w:sz w:val="32"/>
        </w:rPr>
        <w:t>四、下一步工作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（一）对12户重点信访户实行“一户一策”，由区领导包案，力争年底前化解。（二）协调区财政局尽快解决资金缺口，确保11月底前完成已签约户补偿款兑付。（三）依法依规认定无证建筑权属，分类处置。（四）加强舆情监测，主动发布权威信息。（五）力争2026年12月底前完成全部签约，2027年3月底前完成腾空拆除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特此报告。</w:t>
      </w:r>
    </w:p>
    <w:p/>
    <w:p>
      <w:pPr>
        <w:jc w:val="right"/>
      </w:pPr>
      <w:r>
        <w:rPr>
          <w:rFonts w:ascii="仿宋_GB2312" w:hAnsi="仿宋_GB2312" w:eastAsia="仿宋_GB2312"/>
          <w:sz w:val="32"/>
        </w:rPr>
        <w:t>清河区房屋征收补偿办公室</w:t>
      </w:r>
    </w:p>
    <w:p>
      <w:pPr>
        <w:jc w:val="right"/>
      </w:pPr>
      <w:r>
        <w:rPr>
          <w:rFonts w:ascii="仿宋_GB2312" w:hAnsi="仿宋_GB2312" w:eastAsia="仿宋_GB2312"/>
          <w:sz w:val="32"/>
        </w:rPr>
        <w:t>2026年10月16日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黑体" w:hAnsi="黑体" w:eastAsia="黑体"/>
        <w:sz w:val="24"/>
      </w:rPr>
      <w:t>秘密★1年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