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关于进一步加强全市知识产权保护工作的实施意见（初稿）</w:t>
      </w:r>
    </w:p>
    <w:p>
      <w:r>
        <w:t>各县（区）人民政府，市政府各部门，各有关单位：</w:t>
      </w:r>
    </w:p>
    <w:p>
      <w:r>
        <w:t>为深入贯彻落实创新驱动发展战略，全面提升我市知识产权保护水平，以高水平保护赋能高质量发展，构建严保护、大保护、快保护、同保护的工作格局，结合我市实际，现就进一步加强知识产权保护工作提出如下实施意见。</w:t>
      </w:r>
    </w:p>
    <w:p>
      <w:r>
        <w:rPr>
          <w:b/>
        </w:rPr>
        <w:t>一、总体要求</w:t>
      </w:r>
    </w:p>
    <w:p>
      <w:r>
        <w:t>（一）指导思想。以习近平新时代中国特色社会主义思想为指导，坚持党的全面领导，坚持创新是第一动力、保护是第一要务，坚持问题导向，紧紧围绕中心、服务大局，进一步凝聚共识、汇聚合力，着力打造全链条、全方位、立体化的知识产权保护体系，为全市经济社会高质量发展提供坚实支撑。</w:t>
      </w:r>
    </w:p>
    <w:p>
      <w:r>
        <w:t>（二）基本原则。坚持统筹协调，打好组合拳；坚持重点突破，找准切入点；坚持改革创新，激活新动能；坚持社会共治，形成大合唱。</w:t>
      </w:r>
    </w:p>
    <w:p>
      <w:r>
        <w:t>（三）工作目标。到2027年底，全市知识产权保护体系更加健全，保护能力显著增强，创新主体获得感明显提升。每万人口高价值发明专利拥有量达到7.8件，知识产权纠纷行政裁决平均办理周期压缩至30个工作日以内，知识产权保护社会满意度保持在90分以上。</w:t>
      </w:r>
    </w:p>
    <w:p>
      <w:r>
        <w:rPr>
          <w:b/>
        </w:rPr>
        <w:t>二、主要任务</w:t>
      </w:r>
    </w:p>
    <w:p>
      <w:r>
        <w:t>（一）强化顶层设计，健全协同保护机制。建立由市政府分管领导牵头的知识产权保护工作联席会议制度，统筹协调全市知识产权保护工作，打通部门壁垒，破除信息孤岛，形成上下联动、左右协同、齐抓共管的良好局面。联席会议办公室设在市市场监督管理局（知识产权局），2026年12月底前完成联席会议成员单位确定和工作规则制定。责任单位：市市场监督管理局、市司法局。</w:t>
      </w:r>
    </w:p>
    <w:p>
      <w:r>
        <w:t>（二）强化行政执法，提升保护实效。以最严格的标准、最严厉的举措，扎实开展专利、商标、地理标志、商业秘密等领域的专项执法行动。针对群众反映强烈、社会关注度高的突出问题，要持续发力、久久为功，做到有案必查、有错必纠、有恶必惩。2026年11月起每季度开展一次全市知识产权执法专项检查，对重复侵权、恶意侵权行为依法从严处罚。责任单位：市市场监督管理局、市公安局、市文化广电和旅游局。</w:t>
      </w:r>
    </w:p>
    <w:p>
      <w:r>
        <w:t>（三）强化司法保护，发挥审判检察职能。充分发挥司法保护的主渠道作用，加大对知识产权侵权违法行为的惩治力度，探索建立知识产权民事、行政、刑事案件“三合一”审理机制，着力提升审判质效。市检察院要强化法律监督，依法办理知识产权刑事案件。2027年3月底前，在市中级人民法院设立知识产权审判庭。责任单位：市中级人民法院、市人民检察院。</w:t>
      </w:r>
    </w:p>
    <w:p>
      <w:r>
        <w:t>（四）强化快速维权，畅通救济渠道。深入推进知识产权快速维权中心建设，以数字化赋能为抓手，打造一站式、全流程、闭环式的维权服务体系，让数据多跑路、让企业少跑腿。2027年6月底前建成知识产权快速维权中心，实现专利预审、确权、维权“一窗受理”。责任单位：市市场监督管理局、市科技局。</w:t>
      </w:r>
    </w:p>
    <w:p>
      <w:r>
        <w:t>（五）强化源头保护，加强创新主体培育。聚焦我市装备制造、农产品加工、文化旅游三大主导产业，引导企业加强专利布局，培育一批知识产权优势企业。支持企业开展知识产权贯标，加大对中小微企业的帮扶力度，全面提升企业运用知识产权参与市场竞争的能力。2027年底前新增知识产权优势企业30家。责任单位：市科技局、市商务局、市工业和信息化局。</w:t>
      </w:r>
    </w:p>
    <w:p>
      <w:r>
        <w:t>（六）强化社会共治，营造良好氛围。发挥行业协会、商会、律师事务所、公证机构等社会组织作用，构建政府主导、企业主体、社会参与的多元共治格局。持续开展“4·26”知识产权宣传周等系列宣传活动，加强典型案例发布，进一步增强全社会尊重和保护知识产权的意识，让保护知识产权成为社会共识和行动自觉。责任单位：市委宣传部、市司法局、市科协。</w:t>
      </w:r>
    </w:p>
    <w:p>
      <w:r>
        <w:rPr>
          <w:b/>
        </w:rPr>
        <w:t>三、保障措施</w:t>
      </w:r>
    </w:p>
    <w:p>
      <w:r>
        <w:t>（一）加强组织领导。各地各部门要充分认识加强知识产权保护工作的重要意义，切实把思想和行动统一到市委、市政府决策部署上来，主要领导亲自抓、分管领导具体抓，层层压实责任，确保各项任务落地见效。市政府成立知识产权保护工作领导小组，负责重大事项的研究和决策，领导小组办公室设在市市场监督管理局。</w:t>
      </w:r>
    </w:p>
    <w:p>
      <w:r>
        <w:t>（二）加强经费保障。各级财政要加大对知识产权保护工作的投入力度，统筹用好现有资金渠道，向重点领域、关键环节倾斜，为各项工作的顺利开展提供有力的资金支撑。</w:t>
      </w:r>
    </w:p>
    <w:p>
      <w:r>
        <w:t>（三）加强人才队伍建设。着力打造一支政治过硬、业务精湛、作风优良的知识产权保护队伍，通过培训、交流、挂职等方式，不断提升执法人员、司法人员的专业化水平。市市场监督管理局每年至少组织两次专题业务培训。</w:t>
      </w:r>
    </w:p>
    <w:p>
      <w:r>
        <w:t>（四）加强督促检查。建立健全工作台账，实行清单化管理、项目化推进、闭环式落实，定期通报进展情况。市政府督查室会同市市场监督管理局每半年对各项任务落实情况开展一次督查，对工作不力、进展缓慢的单位予以通报，真正做到抓铁有声、踏石留印。</w:t>
      </w:r>
    </w:p>
    <w:p>
      <w:r>
        <w:t>（五）加强宣传引导。充分利用报纸、电视、新媒体等多种渠道，全方位、多角度宣传知识产权保护工作的好经验好做法，营造全社会关心支持知识产权保护的浓厚氛围，努力开创我市知识产权保护工作新局面，以知识产权高水平保护助力经济社会高质量发展。</w:t>
      </w:r>
    </w:p>
    <w:p>
      <w:r>
        <w:t>本意见自印发之日起施行。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