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napToGrid w:val="0"/>
        <w:spacing w:line="578" w:lineRule="exact" w:before="0" w:after="0"/>
        <w:ind w:left="0" w:leftChars="0" w:right="0" w:rightChars="0" w:firstLine="0" w:firstLineChars="0"/>
        <w:jc w:val="center"/>
      </w:pPr>
      <w:r>
        <w:rPr>
          <w:rFonts w:ascii="方正小标宋简体" w:hAnsi="方正小标宋简体" w:eastAsia="方正小标宋简体" w:cs="方正小标宋简体" w:hint="eastAsia"/>
          <w:sz w:val="44"/>
          <w:szCs w:val="44"/>
        </w:rPr>
        <w:t>某市某医院心血管内科2026年工作总结</w:t>
      </w:r>
    </w:p>
    <w:p>
      <w:pPr>
        <w:spacing w:line="578" w:lineRule="exact" w:before="0" w:after="0"/>
        <w:ind w:left="0" w:leftChars="0" w:right="0" w:rightChars="0" w:firstLine="0" w:firstLineChars="0"/>
      </w:pP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2026年，心血管内科围绕胸痛中心复审、急诊介入救治、左心耳封堵新技术、医疗安全、出院患者随访、队伍建设和教学科研等重点工作，扎实推进各项任务，门诊、出院和介入手术量同步增加。现将2026年工作总结如下，分主要工作和成效、存在的问题、2027年工作打算三部分，文中数据除注明外均为1—11月数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从主要指标看，1—11月科室门诊48652人次，同比增加3442人次，增长7.6%；出院3518人次，同比增加216人次，增长6.5%；四级手术占比32.6%，较上年同期提高2.2个百分点，该占比的分母为科室全部手术，两年口径一致；床位使用率94.4%，较上年同期下降3.7个百分点；平均住院日7.1天；CMI（病例组合指数，上年同期1.13）和次均住院费用为【待补：2026年1—11月CMI及次均住院费用，病案科、财务科提供】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0"/>
      </w:pPr>
      <w:r>
        <w:rPr>
          <w:rFonts w:ascii="黑体" w:hAnsi="黑体" w:eastAsia="黑体" w:cs="黑体" w:hint="eastAsia"/>
          <w:sz w:val="32"/>
          <w:szCs w:val="32"/>
        </w:rPr>
        <w:t>一、主要工作和成效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2026年，科室的主要工作集中在以下五个方面。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（一）推进胸痛中心和介入救治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胸痛中心复审是对科室急性胸痛救治流程和救治质量的整体检验，也是全年的重点任务之一。1月起，科室开始准备复审，科主任重点督导急诊PCI（经皮冠状动脉介入治疗）门球时间，即急诊PCI患者从到达医院至开通罪犯血管的时间，要求压缩到90分钟以内，实际完成情况为【待补：门球时间中位数或达标率，胸痛中心数据填报平台提供】。6月，省里来科室复审，胸痛中心通过复审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介入诊疗方面，1—11月完成PCI 612台，上年同期为538台，同比增长13.8%，增加74台。8月，导管室更换新的DSA（数字减影血管造影）设备，装机的半个月内介入手术暂停，部分急诊患者转往兄弟医院救治。在介入手术暂停半个月的情况下，1—11月PCI量仍高于上年同期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（二）开展左心耳封堵新技术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3月，科室开展左心耳封堵新技术，该技术主要用于预防心房颤动患者发生卒中。3月18日完成首例手术，患者张某，男，72岁，术后恢复良好，第5天出院。全年完成左心耳封堵术约20台。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（三）抓好医疗安全和服务质量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医疗安全方面，全年上报不良事件11例，无严重不良事件。合理用药方面，科室抗菌药物本来使用较少，今年抗菌药物使用强度控制在医院下达的指标以内。服务质量方面，医院每季度测评患者满意度，科室各季度均在95%以上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（四）开展心力衰竭出院随访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护士长牵头开展心力衰竭患者出院随访，出院后第7天、第30天各电话随访一次，1—11月共随访430人次，平均每月约39人次。随访安排在出院后第7天和第30天两个时间点，便于及时了解患者出院后的恢复情况。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（五）加强队伍建设和教学科研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队伍建设方面，2026年有2名规培结束的医生留科，调走1名护士，现有医生18人、护士36人，医护人员比例约为1∶2。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教学方面，带教进修医生6人，带教规培生24人次。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科研方面，申到市卫生健康委课题1项，经费8万元；共发表论文5篇，其中SCI论文2篇、中文核心期刊论文3篇。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综合以上，1—11月科室门诊、出院和PCI量同比均有增加，四级手术占比提高，全年无严重不良事件，新技术、出院随访、人才培养和科研工作均已开展。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0"/>
      </w:pPr>
      <w:r>
        <w:rPr>
          <w:rFonts w:ascii="黑体" w:hAnsi="黑体" w:eastAsia="黑体" w:cs="黑体" w:hint="eastAsia"/>
          <w:sz w:val="32"/>
          <w:szCs w:val="32"/>
        </w:rPr>
        <w:t>二、存在的问题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对照医院考核要求和科室工作实际，主要存在以下四个问题。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（一）夜间急诊介入人手紧张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夜间能独立完成急诊PCI的医生只有3名，占现有医生18人的六分之一，经常连续值班。夜间急诊介入对医生数量和连续工作能力要求较高，现有人员配置难以轮换休息。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（二）导管室仅一间，排台紧张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科室现有导管室一间，手术排台排不开，一间导管室难以满足全部介入手术的排台需要。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（三）病历质量未达医院要求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病历质量是医疗质量管理的基础环节。上半年院级医疗质量检查中，科室病历甲级率为91.8%，未达到医院95%的要求，在检查中被指出。下半年起，科室质控小组每周抽查病历，推动整改。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（四）心力衰竭病组费用超支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医院推行DRG付费后，科室有几个病组费用超支，主要是心力衰竭病组，住院日偏长。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上述问题中，夜间人手、导管室和心力衰竭病组费用在2027年工作打算中已有对应安排，病历质量的整改已从下半年起实施。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0"/>
      </w:pPr>
      <w:r>
        <w:rPr>
          <w:rFonts w:ascii="黑体" w:hAnsi="黑体" w:eastAsia="黑体" w:cs="黑体" w:hint="eastAsia"/>
          <w:sz w:val="32"/>
          <w:szCs w:val="32"/>
        </w:rPr>
        <w:t>三、2027年工作打算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针对上述问题，结合科室发展需要，2027年计划做好以下工作。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（一）补充夜间急诊介入力量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拟安排2名年轻医生于明年上半年参加介入资质考核，增加夜间能独立完成急诊PCI的医生人数，缓解现有3名医生经常连续值班的状况。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（二）申请增设一间导管室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拟向医院申请增设一间导管室，缓解现有导管室手术排台紧张的状况。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（三）开设心脏康复门诊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拟开设心脏康复门诊，已选派1名护士赴省里进修，为门诊开设做好人员准备。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（四）加强心力衰竭病组管理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针对心力衰竭病组DRG费用超支、住院日偏长的问题，加强该病组的住院日和费用管理。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上述工作涉及人员资质、设备增配和新门诊开设的事项，将按医院有关规定办理。</w:t>
      </w:r>
    </w:p>
    <w:p>
      <w:pPr>
        <w:keepNext/>
        <w:spacing w:line="578" w:lineRule="exact" w:before="0" w:after="0"/>
        <w:ind w:left="0" w:leftChars="0" w:right="0" w:rightChars="0" w:firstLine="0" w:firstLineChars="0"/>
      </w:pPr>
    </w:p>
    <w:p>
      <w:pPr>
        <w:keepNext/>
        <w:keepLines/>
        <w:spacing w:line="578" w:lineRule="exact" w:before="0" w:after="0"/>
        <w:ind w:left="5440" w:leftChars="1700" w:right="0" w:rightChars="0" w:firstLine="0" w:firstLineChars="0"/>
        <w:jc w:val="left"/>
      </w:pPr>
      <w:r>
        <w:rPr>
          <w:rFonts w:ascii="仿宋_GB2312" w:hAnsi="仿宋_GB2312" w:eastAsia="仿宋_GB2312" w:cs="仿宋_GB2312" w:hint="eastAsia"/>
          <w:sz w:val="32"/>
          <w:szCs w:val="32"/>
        </w:rPr>
        <w:t>心血管内科</w:t>
      </w:r>
    </w:p>
    <w:p>
      <w:pPr>
        <w:keepLines/>
        <w:spacing w:line="578" w:lineRule="exact" w:before="0" w:after="0"/>
        <w:ind w:left="0" w:leftChars="0" w:right="640" w:rightChars="200" w:firstLine="0" w:firstLineChars="0"/>
        <w:jc w:val="right"/>
      </w:pPr>
      <w:r>
        <w:rPr>
          <w:rFonts w:ascii="仿宋_GB2312" w:hAnsi="仿宋_GB2312" w:eastAsia="仿宋_GB2312" w:cs="仿宋_GB2312" w:hint="eastAsia"/>
          <w:sz w:val="32"/>
          <w:szCs w:val="32"/>
        </w:rPr>
        <w:t>2026年12月　日</w:t>
      </w:r>
    </w:p>
    <w:sectPr w:rsidR="00FC693F" w:rsidRPr="0006063C" w:rsidSect="00034616">
      <w:footerReference w:type="default" r:id="rId9"/>
      <w:footerReference w:type="even" r:id="rId10"/>
      <w:pgSz w:w="11906" w:h="16838" w:code="9"/>
      <w:pgMar w:top="2098" w:right="1474" w:bottom="1984" w:left="1587" w:header="850" w:footer="1134" w:gutter="0"/>
      <w:cols w:space="720"/>
      <w:docGrid w:linePitch="579" w:type="linesAndChars" w:charSpace="-84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napToGrid w:val="0"/>
      <w:spacing w:line="240" w:lineRule="auto" w:before="0" w:after="260"/>
      <w:ind w:left="0" w:right="280" w:firstLine="0"/>
      <w:jc w:val="right"/>
    </w:pPr>
    <w:r>
      <w:rPr>
        <w:rFonts w:ascii="宋体" w:hAnsi="宋体" w:eastAsia="宋体" w:cs="宋体" w:hint="eastAsia"/>
        <w:sz w:val="28"/>
        <w:szCs w:val="28"/>
      </w:rPr>
      <w:t xml:space="preserve">— </w:t>
    </w:r>
    <w:r>
      <w:rPr>
        <w:rFonts w:ascii="宋体" w:hAnsi="宋体" w:eastAsia="宋体" w:cs="宋体" w:hint="eastAsia"/>
        <w:sz w:val="28"/>
        <w:szCs w:val="28"/>
      </w:rPr>
      <w:fldChar w:fldCharType="begin"/>
    </w:r>
    <w:r>
      <w:rPr>
        <w:rFonts w:ascii="宋体" w:hAnsi="宋体" w:eastAsia="宋体" w:cs="宋体" w:hint="eastAsia"/>
        <w:sz w:val="28"/>
        <w:szCs w:val="28"/>
      </w:rPr>
      <w:instrText xml:space="preserve"> PAGE </w:instrText>
    </w:r>
    <w:r>
      <w:rPr>
        <w:rFonts w:ascii="宋体" w:hAnsi="宋体" w:eastAsia="宋体" w:cs="宋体" w:hint="eastAsia"/>
        <w:sz w:val="28"/>
        <w:szCs w:val="28"/>
      </w:rPr>
      <w:fldChar w:fldCharType="separate"/>
    </w:r>
    <w:r>
      <w:rPr>
        <w:rFonts w:ascii="宋体" w:hAnsi="宋体" w:eastAsia="宋体" w:cs="宋体" w:hint="eastAsia"/>
        <w:sz w:val="28"/>
        <w:szCs w:val="28"/>
      </w:rPr>
      <w:t>1</w:t>
    </w:r>
    <w:r>
      <w:rPr>
        <w:rFonts w:ascii="宋体" w:hAnsi="宋体" w:eastAsia="宋体" w:cs="宋体" w:hint="eastAsia"/>
        <w:sz w:val="28"/>
        <w:szCs w:val="28"/>
      </w:rPr>
      <w:fldChar w:fldCharType="end"/>
    </w:r>
    <w:r>
      <w:rPr>
        <w:rFonts w:ascii="宋体" w:hAnsi="宋体" w:eastAsia="宋体" w:cs="宋体" w:hint="eastAsia"/>
        <w:sz w:val="28"/>
        <w:szCs w:val="28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napToGrid w:val="0"/>
      <w:spacing w:line="240" w:lineRule="auto" w:before="0" w:after="260"/>
      <w:ind w:left="280" w:right="0" w:firstLine="0"/>
      <w:jc w:val="left"/>
    </w:pPr>
    <w:r>
      <w:rPr>
        <w:rFonts w:ascii="宋体" w:hAnsi="宋体" w:eastAsia="宋体" w:cs="宋体" w:hint="eastAsia"/>
        <w:sz w:val="28"/>
        <w:szCs w:val="28"/>
      </w:rPr>
      <w:t xml:space="preserve">— </w:t>
    </w:r>
    <w:r>
      <w:rPr>
        <w:rFonts w:ascii="宋体" w:hAnsi="宋体" w:eastAsia="宋体" w:cs="宋体" w:hint="eastAsia"/>
        <w:sz w:val="28"/>
        <w:szCs w:val="28"/>
      </w:rPr>
      <w:fldChar w:fldCharType="begin"/>
    </w:r>
    <w:r>
      <w:rPr>
        <w:rFonts w:ascii="宋体" w:hAnsi="宋体" w:eastAsia="宋体" w:cs="宋体" w:hint="eastAsia"/>
        <w:sz w:val="28"/>
        <w:szCs w:val="28"/>
      </w:rPr>
      <w:instrText xml:space="preserve"> PAGE </w:instrText>
    </w:r>
    <w:r>
      <w:rPr>
        <w:rFonts w:ascii="宋体" w:hAnsi="宋体" w:eastAsia="宋体" w:cs="宋体" w:hint="eastAsia"/>
        <w:sz w:val="28"/>
        <w:szCs w:val="28"/>
      </w:rPr>
      <w:fldChar w:fldCharType="separate"/>
    </w:r>
    <w:r>
      <w:rPr>
        <w:rFonts w:ascii="宋体" w:hAnsi="宋体" w:eastAsia="宋体" w:cs="宋体" w:hint="eastAsia"/>
        <w:sz w:val="28"/>
        <w:szCs w:val="28"/>
      </w:rPr>
      <w:t>1</w:t>
    </w:r>
    <w:r>
      <w:rPr>
        <w:rFonts w:ascii="宋体" w:hAnsi="宋体" w:eastAsia="宋体" w:cs="宋体" w:hint="eastAsia"/>
        <w:sz w:val="28"/>
        <w:szCs w:val="28"/>
      </w:rPr>
      <w:fldChar w:fldCharType="end"/>
    </w:r>
    <w:r>
      <w:rPr>
        <w:rFonts w:ascii="宋体" w:hAnsi="宋体" w:eastAsia="宋体" w:cs="宋体" w:hint="eastAsia"/>
        <w:sz w:val="28"/>
        <w:szCs w:val="28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仿宋_GB2312" w:hAnsi="仿宋_GB2312" w:eastAsia="仿宋_GB2312" w:cs="仿宋_GB2312" w:hint="eastAsia"/>
        <w:sz w:val="32"/>
        <w:szCs w:val="3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autoSpaceDE w:val="0"/>
      <w:autoSpaceDN w:val="0"/>
      <w:spacing w:line="578" w:lineRule="exact" w:before="0" w:after="0"/>
      <w:jc w:val="both"/>
    </w:pPr>
    <w:rPr>
      <w:rFonts w:ascii="仿宋_GB2312" w:hAnsi="仿宋_GB2312" w:eastAsia="仿宋_GB2312" w:cs="仿宋_GB2312" w:hint="eastAsia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