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napToGrid w:val="0"/>
        <w:spacing w:line="864" w:lineRule="exact" w:before="1984" w:after="0"/>
        <w:ind w:left="0" w:leftChars="0" w:right="0" w:rightChars="0" w:firstLine="0" w:firstLineChars="0"/>
        <w:jc w:val="center"/>
      </w:pPr>
      <w:r>
        <w:rPr>
          <w:rFonts w:ascii="方正小标宋简体" w:hAnsi="方正小标宋简体" w:eastAsia="方正小标宋简体" w:cs="方正小标宋简体" w:hint="eastAsia"/>
          <w:color w:val="FF0000"/>
          <w:sz w:val="72"/>
          <w:szCs w:val="72"/>
        </w:rPr>
        <w:t>某区教育局文件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pBdr>
          <w:bottom w:val="single" w:sz="12" w:space="11" w:color="FF0000"/>
        </w:pBdr>
        <w:spacing w:line="578" w:lineRule="exact" w:before="0" w:after="0"/>
        <w:ind w:left="0" w:leftChars="0" w:right="0" w:rightChars="0" w:firstLine="0" w:firstLineChars="0"/>
        <w:jc w:val="center"/>
      </w:pPr>
      <w:r>
        <w:rPr>
          <w:rFonts w:ascii="仿宋_GB2312" w:hAnsi="仿宋_GB2312" w:eastAsia="仿宋_GB2312" w:cs="仿宋_GB2312" w:hint="eastAsia"/>
          <w:sz w:val="32"/>
          <w:szCs w:val="32"/>
        </w:rPr>
        <w:t>某区教发〔2026〕12号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napToGrid w:val="0"/>
        <w:spacing w:line="578" w:lineRule="exact" w:before="0" w:after="0"/>
        <w:ind w:left="0" w:leftChars="0" w:right="0" w:rightChars="0" w:firstLine="0" w:firstLineChars="0"/>
        <w:jc w:val="center"/>
      </w:pPr>
      <w:r>
        <w:rPr>
          <w:rFonts w:ascii="方正小标宋简体" w:hAnsi="方正小标宋简体" w:eastAsia="方正小标宋简体" w:cs="方正小标宋简体" w:hint="eastAsia"/>
          <w:sz w:val="44"/>
          <w:szCs w:val="44"/>
        </w:rPr>
        <w:t>某区教育局关于开展2026年</w:t>
        <w:br/>
      </w:r>
      <w:r>
        <w:rPr>
          <w:rFonts w:ascii="方正小标宋简体" w:hAnsi="方正小标宋简体" w:eastAsia="方正小标宋简体" w:cs="方正小标宋简体" w:hint="eastAsia"/>
          <w:sz w:val="44"/>
          <w:szCs w:val="44"/>
        </w:rPr>
        <w:t>冬季校园安全检查的通知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各中小学、幼儿园：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为全面筑牢校园安全防线，经研究，决定在全区开展2026年冬季校园安全检查。现将有关事项通知如下：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一、总体要求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冬季取暖用电增多、道路结冰、流感高发，是校园安全事故的高发期。部分学校仍存在重检查轻整改的问题。各学校要以此次检查为抓手，建设校园安全管理体系，运用信息化手段提升校园安全管理水平，打通教育、公安、应急管理等部门的隐患数据，实现隐患发现、整改、销号全流程闭环管理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二、检查范围和重点内容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本次检查覆盖全区82所中小学和幼儿园，重点检查以下四个方面：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（一）校舍安全。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重点检查教学楼、宿舍、食堂等建筑的屋面、外墙和围墙，排查冰雪荷载隐患。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（二）消防安全。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重点检查电气线路、取暖设备和消防设施，严禁在宿舍使用大功率电器。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（三）食品安全。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重点检查食堂进货查验、留样和从业人员健康证明。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（四）交通安全。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重点检查校车运行和上下学时段校门口交通秩序。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三、时间安排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（一）学校自查。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各学校于2026年11月5日前完成自查，形成隐患清单。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（二）区级抽查。</w:t>
      </w:r>
      <w:r>
        <w:rPr>
          <w:rFonts w:ascii="仿宋_GB2312" w:hAnsi="仿宋_GB2312" w:eastAsia="仿宋_GB2312" w:cs="仿宋_GB2312" w:hint="eastAsia"/>
          <w:sz w:val="32"/>
          <w:szCs w:val="32"/>
        </w:rPr>
        <w:t>2026年11月10日至11月30日，区教育局会同区应急管理局、区市场监管局组成联合检查组，按不低于30%的比例开展抽查。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（三）集中整改。</w:t>
      </w:r>
      <w:r>
        <w:rPr>
          <w:rFonts w:ascii="仿宋_GB2312" w:hAnsi="仿宋_GB2312" w:eastAsia="仿宋_GB2312" w:cs="仿宋_GB2312" w:hint="eastAsia"/>
          <w:sz w:val="32"/>
          <w:szCs w:val="32"/>
        </w:rPr>
        <w:t>抽查发现的问题，相关学校于2026年12月17日前整改到位。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四、工作要求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（一）加强组织领导。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各学校要成立由校长任组长的安全检查工作专班，细化检查内容，层层压实责任。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（二）强化家校协同。</w:t>
      </w:r>
      <w:r>
        <w:rPr>
          <w:rFonts w:ascii="仿宋_GB2312" w:hAnsi="仿宋_GB2312" w:eastAsia="仿宋_GB2312" w:cs="仿宋_GB2312" w:hint="eastAsia"/>
          <w:sz w:val="32"/>
          <w:szCs w:val="32"/>
        </w:rPr>
        <w:t>要通过家长会、致家长的一封信等方式，向家长宣传冬季安全知识。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（三）做好经费保障。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各学校可安排安全专项经费3万～5万元，用于隐患整改和设施更新。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（四）加强宣传教育。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各学校要在寒假前开展一次安全教育主题班会和应急疏散演练，切实提高师生的安全意识和自救互救能力。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（五）及时报送信息。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各学校于2026年11月5日前将自查报告和隐患清单报区教育局安全科。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联系人：区教育局安全科李某</w:t>
      </w: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keepLines/>
        <w:spacing w:line="578" w:lineRule="exact" w:before="0" w:after="0"/>
        <w:ind w:left="4320" w:leftChars="1350" w:right="0" w:rightChars="0" w:firstLine="0" w:firstLineChars="0"/>
        <w:jc w:val="center"/>
      </w:pPr>
      <w:r>
        <w:rPr>
          <w:rFonts w:ascii="仿宋_GB2312" w:hAnsi="仿宋_GB2312" w:eastAsia="仿宋_GB2312" w:cs="仿宋_GB2312" w:hint="eastAsia"/>
          <w:sz w:val="32"/>
          <w:szCs w:val="32"/>
        </w:rPr>
        <w:t>某区教育局</w:t>
      </w:r>
    </w:p>
    <w:p>
      <w:pPr>
        <w:keepLines/>
        <w:spacing w:line="578" w:lineRule="exact" w:before="0" w:after="0"/>
        <w:ind w:left="4320" w:leftChars="1350" w:right="0" w:rightChars="0" w:firstLine="0" w:firstLineChars="0"/>
        <w:jc w:val="center"/>
      </w:pPr>
      <w:r>
        <w:rPr>
          <w:rFonts w:ascii="仿宋_GB2312" w:hAnsi="仿宋_GB2312" w:eastAsia="仿宋_GB2312" w:cs="仿宋_GB2312" w:hint="eastAsia"/>
          <w:sz w:val="32"/>
          <w:szCs w:val="32"/>
        </w:rPr>
        <w:t>2026年10月7日</w:t>
      </w:r>
    </w:p>
    <w:tbl>
      <w:tblPr>
        <w:tblpPr w:leftFromText="0" w:rightFromText="0" w:topFromText="0" w:bottomFromText="0" w:vertAnchor="margin" w:horzAnchor="margin" w:tblpXSpec="center" w:tblpYSpec="bottom"/>
        <w:tblOverlap w:val="never"/>
        <w:tblW w:w="884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6" w:space="0" w:color="000000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845"/>
      </w:tblGrid>
      <w:tr>
        <w:tc>
          <w:tcPr>
            <w:tcW w:type="dxa" w:w="8845"/>
          </w:tcPr>
          <w:p>
            <w:pPr>
              <w:tabs>
                <w:tab w:val="right" w:pos="8565"/>
              </w:tabs>
              <w:snapToGrid w:val="0"/>
              <w:spacing w:line="578" w:lineRule="exact" w:before="0" w:after="0"/>
              <w:ind w:left="280" w:right="0" w:firstLine="0"/>
              <w:jc w:val="left"/>
            </w:pPr>
            <w:r>
              <w:rPr>
                <w:rFonts w:ascii="仿宋_GB2312" w:hAnsi="仿宋_GB2312" w:eastAsia="仿宋_GB2312" w:cs="仿宋_GB2312" w:hint="eastAsia"/>
                <w:sz w:val="28"/>
                <w:szCs w:val="28"/>
              </w:rPr>
              <w:t>某区教育局办公室</w:t>
              <w:tab/>
              <w:t>2026年10月7日印发</w:t>
            </w:r>
          </w:p>
        </w:tc>
      </w:tr>
    </w:tbl>
    <w:p>
      <w:pPr>
        <w:snapToGrid w:val="0"/>
        <w:spacing w:line="20" w:lineRule="exact" w:before="0" w:after="0"/>
        <w:ind w:left="0" w:leftChars="0" w:right="0" w:rightChars="0" w:firstLine="0" w:firstLineChars="0"/>
      </w:pPr>
    </w:p>
    <w:sectPr w:rsidR="00FC693F" w:rsidRPr="0006063C" w:rsidSect="00034616">
      <w:footerReference w:type="default" r:id="rId9"/>
      <w:footerReference w:type="even" r:id="rId10"/>
      <w:pgSz w:w="11906" w:h="16838" w:code="9"/>
      <w:pgMar w:top="2098" w:right="1474" w:bottom="1984" w:left="1587" w:header="850" w:footer="1134" w:gutter="0"/>
      <w:cols w:space="720"/>
      <w:docGrid w:linePitch="579" w:type="linesAndChars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0" w:right="280" w:firstLine="0"/>
      <w:jc w:val="righ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280" w:right="0" w:firstLine="0"/>
      <w:jc w:val="lef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_GB2312" w:hAnsi="仿宋_GB2312" w:eastAsia="仿宋_GB2312" w:cs="仿宋_GB2312" w:hint="eastAsia"/>
        <w:sz w:val="32"/>
        <w:szCs w:val="3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autoSpaceDE w:val="0"/>
      <w:autoSpaceDN w:val="0"/>
      <w:spacing w:line="578" w:lineRule="exact" w:before="0" w:after="0"/>
      <w:jc w:val="both"/>
    </w:pPr>
    <w:rPr>
      <w:rFonts w:ascii="仿宋_GB2312" w:hAnsi="仿宋_GB2312" w:eastAsia="仿宋_GB2312" w:cs="仿宋_GB2312" w:hint="eastAsia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