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某理工大学文件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tabs>
          <w:tab w:val="left" w:pos="320"/>
          <w:tab w:val="right" w:pos="8525"/>
        </w:tabs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ab/>
        <w:t>某理工发〔2026〕【待补：序号】号</w:t>
        <w:tab/>
        <w:t>签发人：</w:t>
      </w:r>
      <w:r>
        <w:rPr>
          <w:rFonts w:ascii="楷体_GB2312" w:hAnsi="楷体_GB2312" w:eastAsia="楷体_GB2312" w:cs="楷体_GB2312" w:hint="eastAsia"/>
          <w:sz w:val="32"/>
          <w:szCs w:val="32"/>
        </w:rPr>
        <w:t>王某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关于申请增加2027年硕士研究生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招生计划的请示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省教育厅：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我校现有硕士学位授权一级学科12个，2026年招收硕士研究生860人。近三年，我校新增国家级科研平台2个，导师队伍增加至610人，具备扩大培养规模的条件。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为满足区域产业发展对高层次工程技术人才的需求，我校申请2027年增加硕士研究生招生计划120名，主要用于电子信息、材料与化工两个专业学位类别。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妥否，请批示。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某理工大学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2026年10月26日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（联系人：赵某，联系电话：0000-66668888）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某理工大学党政办公室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