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napToGrid w:val="0"/>
        <w:spacing w:before="0" w:after="560" w:line="560" w:lineRule="exact"/>
        <w:ind w:left="0" w:right="0"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i w:val="0"/>
          <w:sz w:val="44"/>
          <w:szCs w:val="44"/>
        </w:rPr>
        <w:t>某街道2026年平安建设工作总结</w:t>
      </w:r>
    </w:p>
    <w:p>
      <w:pPr>
        <w:spacing w:before="0" w:after="0" w:line="560" w:lineRule="exact"/>
        <w:ind w:left="0" w:right="0" w:firstLine="0"/>
        <w:jc w:val="left"/>
      </w:pP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区委政法委：</w:t>
      </w:r>
    </w:p>
    <w:p>
      <w:pPr>
        <w:spacing w:before="0" w:after="0" w:line="560" w:lineRule="exact"/>
        <w:ind w:left="0" w:right="0" w:firstLineChars="200" w:firstLine="640"/>
        <w:jc w:val="both"/>
      </w:pP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2026年，街道围绕“群防群治、源头化解”的要求，推进平安建设各项工作。现将有关情况总结如下。</w:t>
      </w:r>
    </w:p>
    <w:p>
      <w:pPr>
        <w:keepNext/>
        <w:spacing w:before="0" w:after="0" w:line="560" w:lineRule="exact"/>
        <w:ind w:left="0" w:right="0" w:firstLineChars="200" w:firstLine="640"/>
        <w:jc w:val="left"/>
      </w:pPr>
      <w:r>
        <w:rPr>
          <w:rFonts w:ascii="黑体" w:hAnsi="黑体" w:eastAsia="黑体" w:cs="黑体"/>
          <w:b w:val="0"/>
          <w:i w:val="0"/>
          <w:sz w:val="32"/>
          <w:szCs w:val="32"/>
        </w:rPr>
        <w:t>一、主要工作</w:t>
      </w:r>
    </w:p>
    <w:p>
      <w:pPr>
        <w:spacing w:before="0" w:after="0" w:line="560" w:lineRule="exact"/>
        <w:ind w:left="0" w:right="0" w:firstLineChars="200" w:firstLine="640"/>
        <w:jc w:val="both"/>
      </w:pPr>
      <w:r>
        <w:rPr>
          <w:rFonts w:ascii="楷体_GB2312" w:hAnsi="楷体_GB2312" w:eastAsia="楷体_GB2312" w:cs="楷体_GB2312"/>
          <w:b w:val="0"/>
          <w:i w:val="0"/>
          <w:sz w:val="32"/>
          <w:szCs w:val="32"/>
        </w:rPr>
        <w:t>（一）矛盾纠纷排查化解。</w:t>
      </w: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街道综治中心按月组织排查，全年受理矛盾纠纷</w:t>
      </w:r>
      <w:r>
        <w:rPr>
          <w:rFonts w:ascii="仿宋_GB2312" w:hAnsi="仿宋_GB2312" w:eastAsia="仿宋_GB2312" w:cs="仿宋_GB2312"/>
          <w:b w:val="0"/>
          <w:i w:val="0"/>
          <w:sz w:val="32"/>
          <w:szCs w:val="32"/>
          <w:highlight w:val="yellow"/>
        </w:rPr>
        <w:t>【待补：件数】</w:t>
      </w: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件，调处成功率保持在较高水平。</w:t>
      </w:r>
    </w:p>
    <w:p>
      <w:pPr>
        <w:spacing w:before="0" w:after="0" w:line="560" w:lineRule="exact"/>
        <w:ind w:left="0" w:right="0" w:firstLineChars="200" w:firstLine="640"/>
        <w:jc w:val="both"/>
      </w:pPr>
      <w:r>
        <w:rPr>
          <w:rFonts w:ascii="楷体_GB2312" w:hAnsi="楷体_GB2312" w:eastAsia="楷体_GB2312" w:cs="楷体_GB2312"/>
          <w:b w:val="0"/>
          <w:i w:val="0"/>
          <w:sz w:val="32"/>
          <w:szCs w:val="32"/>
        </w:rPr>
        <w:t>（二）网格化服务管理。</w:t>
      </w: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全街道划分基础网格42个，配备专兼职网格员86名，网格员每周入户走访不少于两次。</w:t>
      </w:r>
    </w:p>
    <w:p>
      <w:pPr>
        <w:spacing w:before="0" w:after="0" w:line="560" w:lineRule="exact"/>
        <w:ind w:left="0" w:right="0" w:firstLineChars="200" w:firstLine="640"/>
        <w:jc w:val="both"/>
      </w:pPr>
      <w:r>
        <w:rPr>
          <w:rFonts w:ascii="楷体_GB2312" w:hAnsi="楷体_GB2312" w:eastAsia="楷体_GB2312" w:cs="楷体_GB2312"/>
          <w:b w:val="0"/>
          <w:i w:val="0"/>
          <w:sz w:val="32"/>
          <w:szCs w:val="32"/>
        </w:rPr>
        <w:t>（三）重点场所安全检查。</w:t>
      </w: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联合派出所、市场监管所对辖区沿街商铺、出租房屋开展检查，督促整改消防隐患。</w:t>
      </w:r>
    </w:p>
    <w:p>
      <w:pPr>
        <w:keepNext/>
        <w:spacing w:before="0" w:after="0" w:line="560" w:lineRule="exact"/>
        <w:ind w:left="0" w:right="0" w:firstLineChars="200" w:firstLine="640"/>
        <w:jc w:val="left"/>
      </w:pPr>
      <w:r>
        <w:rPr>
          <w:rFonts w:ascii="黑体" w:hAnsi="黑体" w:eastAsia="黑体" w:cs="黑体"/>
          <w:b w:val="0"/>
          <w:i w:val="0"/>
          <w:sz w:val="32"/>
          <w:szCs w:val="32"/>
        </w:rPr>
        <w:t>二、存在的问题</w:t>
      </w:r>
    </w:p>
    <w:p>
      <w:pPr>
        <w:spacing w:before="0" w:after="0" w:line="560" w:lineRule="exact"/>
        <w:ind w:left="0" w:right="0" w:firstLineChars="200" w:firstLine="640"/>
        <w:jc w:val="both"/>
      </w:pP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部分老旧小区物业管理缺位，技防设施覆盖不足；网格员业务培训不够系统。</w:t>
      </w:r>
    </w:p>
    <w:p>
      <w:pPr>
        <w:keepNext/>
        <w:spacing w:before="0" w:after="0" w:line="560" w:lineRule="exact"/>
        <w:ind w:left="0" w:right="0" w:firstLineChars="200" w:firstLine="640"/>
        <w:jc w:val="left"/>
      </w:pPr>
      <w:r>
        <w:rPr>
          <w:rFonts w:ascii="黑体" w:hAnsi="黑体" w:eastAsia="黑体" w:cs="黑体"/>
          <w:b w:val="0"/>
          <w:i w:val="0"/>
          <w:sz w:val="32"/>
          <w:szCs w:val="32"/>
        </w:rPr>
        <w:t>三、下一步工作打算</w:t>
      </w:r>
    </w:p>
    <w:p>
      <w:pPr>
        <w:spacing w:before="0" w:after="0" w:line="560" w:lineRule="exact"/>
        <w:ind w:left="0" w:right="0" w:firstLineChars="200" w:firstLine="640"/>
        <w:jc w:val="left"/>
      </w:pPr>
      <w:r>
        <w:rPr>
          <w:rFonts w:ascii="楷体_GB2312" w:hAnsi="楷体_GB2312" w:eastAsia="楷体_GB2312" w:cs="楷体_GB2312"/>
          <w:b w:val="0"/>
          <w:i w:val="0"/>
          <w:sz w:val="32"/>
          <w:szCs w:val="32"/>
        </w:rPr>
        <w:t>（一）推进老旧小区技防设施建设。</w:t>
      </w:r>
    </w:p>
    <w:p>
      <w:pPr>
        <w:spacing w:before="0" w:after="0" w:line="560" w:lineRule="exact"/>
        <w:ind w:left="0" w:right="0" w:firstLineChars="200" w:firstLine="640"/>
        <w:jc w:val="left"/>
      </w:pPr>
      <w:r>
        <w:rPr>
          <w:rFonts w:ascii="楷体_GB2312" w:hAnsi="楷体_GB2312" w:eastAsia="楷体_GB2312" w:cs="楷体_GB2312"/>
          <w:b w:val="0"/>
          <w:i w:val="0"/>
          <w:sz w:val="32"/>
          <w:szCs w:val="32"/>
        </w:rPr>
        <w:t>（二）开展网格员分批轮训。</w:t>
      </w:r>
    </w:p>
    <w:p>
      <w:pPr>
        <w:keepNext/>
        <w:snapToGrid w:val="0"/>
        <w:spacing w:before="1120" w:after="0" w:line="560" w:lineRule="exact"/>
        <w:ind w:left="0" w:right="800" w:firstLine="0"/>
        <w:jc w:val="right"/>
      </w:pP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某街道办事处</w:t>
      </w:r>
    </w:p>
    <w:p>
      <w:pPr>
        <w:snapToGrid w:val="0"/>
        <w:spacing w:before="0" w:after="0" w:line="560" w:lineRule="exact"/>
        <w:ind w:left="0" w:right="640" w:firstLine="0"/>
        <w:jc w:val="right"/>
      </w:pP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2026年12月10日</w:t>
      </w:r>
    </w:p>
    <w:sectPr w:rsidR="00FC693F" w:rsidRPr="0006063C" w:rsidSect="00034616">
      <w:pgSz w:w="11906" w:h="16838"/>
      <w:pgMar w:top="2098" w:right="1474" w:bottom="1984" w:left="1587" w:header="1134" w:footer="1134" w:gutter="0"/>
      <w:cols w:space="720"/>
      <w:docGrid w:linePitch="579" w:type="linesAndChars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/>
        <w:sz w:val="32"/>
        <w:szCs w:val="32"/>
        <w:lang w:val="zh-CN" w:eastAsia="zh-CN" w:bidi="ar-SA"/>
      </w:rPr>
    </w:rPrDefault>
    <w:pPrDefault>
      <w:pPr>
        <w:spacing w:after="0" w:line="560" w:lineRule="exac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560" w:lineRule="exact"/>
    </w:pPr>
    <w:rPr>
      <w:rFonts w:ascii="仿宋_GB2312" w:hAnsi="仿宋_GB2312" w:eastAsia="仿宋_GB2312" w:cs="仿宋_GB2312"/>
      <w:sz w:val="3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某街道2026年平安建设工作总结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