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napToGrid w:val="0"/>
        <w:spacing w:line="864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color w:val="FF0000"/>
          <w:sz w:val="72"/>
          <w:szCs w:val="72"/>
        </w:rPr>
        <w:t>某县卫生健康工作简报</w:t>
      </w:r>
    </w:p>
    <w:p>
      <w:pPr>
        <w:keepNext/>
        <w:snapToGrid w:val="0"/>
        <w:spacing w:line="578" w:lineRule="exact" w:before="120" w:after="0"/>
        <w:ind w:left="0" w:leftChars="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【待补：期号】</w:t>
      </w:r>
    </w:p>
    <w:p>
      <w:pPr>
        <w:keepNext/>
        <w:pBdr>
          <w:bottom w:val="single" w:sz="12" w:space="6" w:color="FF0000"/>
        </w:pBdr>
        <w:tabs>
          <w:tab w:val="right" w:pos="8845"/>
        </w:tabs>
        <w:snapToGrid w:val="0"/>
        <w:spacing w:line="578" w:lineRule="exact" w:before="80" w:after="0"/>
        <w:ind w:left="0" w:leftChars="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县卫生健康局办公室编</w:t>
        <w:tab/>
        <w:t>2026年11月20日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keepNext/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某县推行家庭医生上门随访</w:t>
        <w:br/>
      </w: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慢病老人在家就能复查</w:t>
      </w: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某县卫生健康局今年起在各乡镇卫生院组建家庭医生小组，对签约的高血压、糖尿病老人按季度上门随访，带便携设备在家测血压、测血糖，结果当场录入健康档案。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随访中发现指标异常的，家庭医生当场调整用药建议，需要转诊的由卫生院直接预约县医院号源，老人不用再自己排队挂号。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下一步，县卫生健康局将把随访记录接入县医院的门诊系统，方便接诊医生查看。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keepNext/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某镇卫生院开设午间便民门诊</w:t>
      </w:r>
    </w:p>
    <w:p>
      <w:pPr>
        <w:keepNext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楷体_GB2312" w:hAnsi="楷体_GB2312" w:eastAsia="楷体_GB2312" w:cs="楷体_GB2312" w:hint="eastAsia"/>
          <w:sz w:val="32"/>
          <w:szCs w:val="32"/>
        </w:rPr>
        <w:t>（某镇卫生院供稿）</w:t>
      </w: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为方便上班的群众就医，某镇卫生院从九月起在工作日中午开设便民门诊，安排全科医生和药房人员轮值。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一、服务内容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午间门诊提供常见病诊疗、慢病开药和预防接种咨询，不设预约，到院即可就诊。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二、群众反映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附近企业职工反映，中午休息时间就能看病拿药，不用再请假。</w:t>
      </w:r>
    </w:p>
    <w:tbl>
      <w:tblPr>
        <w:tblpPr w:leftFromText="0" w:rightFromText="0" w:topFromText="0" w:bottomFromText="0" w:vertAnchor="margin" w:horzAnchor="margin" w:tblpXSpec="center" w:tblpYSpec="bottom"/>
        <w:tblOverlap w:val="never"/>
        <w:tblW w:w="8845" w:type="dxa"/>
        <w:jc w:val="center"/>
        <w:tblBorders>
          <w:top w:val="single" w:sz="8" w:space="0" w:color="000000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845"/>
      </w:tblGrid>
      <w:tr>
        <w:tc>
          <w:tcPr>
            <w:tcW w:type="dxa" w:w="8845"/>
          </w:tcPr>
          <w:p>
            <w:pPr>
              <w:snapToGrid w:val="0"/>
              <w:spacing w:line="578" w:lineRule="exact" w:before="0" w:after="0"/>
              <w:ind w:left="840" w:right="280" w:hanging="56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报：县委办公室，县政府办公室</w:t>
            </w:r>
          </w:p>
          <w:p>
            <w:pPr>
              <w:snapToGrid w:val="0"/>
              <w:spacing w:line="578" w:lineRule="exact" w:before="0" w:after="0"/>
              <w:ind w:left="840" w:right="280" w:hanging="56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发：各乡镇卫生院</w:t>
            </w:r>
          </w:p>
        </w:tc>
      </w:tr>
    </w:tbl>
    <w:p>
      <w:pPr>
        <w:snapToGrid w:val="0"/>
        <w:spacing w:line="20" w:lineRule="exact" w:before="0" w:after="0"/>
        <w:ind w:left="0" w:leftChars="0" w:right="0" w:rightChars="0" w:firstLine="0" w:firstLineChars="0"/>
      </w:pP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