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某能源集团有限公司人力资源部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2026年工作总结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2026年，人力资源部围绕集团年度经营目标，重点抓好组织架构优化、人才队伍建设和薪酬绩效改革三项工作。现将全年工作总结如下。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一、主要工作及成效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（一）优化组织架构。</w:t>
      </w:r>
      <w:r>
        <w:rPr>
          <w:rFonts w:ascii="仿宋_GB2312" w:hAnsi="仿宋_GB2312" w:eastAsia="仿宋_GB2312" w:cs="仿宋_GB2312" w:hint="eastAsia"/>
          <w:sz w:val="32"/>
          <w:szCs w:val="32"/>
        </w:rPr>
        <w:t>完成本部部门职能梳理，撤并职能交叉部门2个，本部管理人员编制由186人压减至172人。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（二）加强人才队伍建设。</w:t>
      </w:r>
      <w:r>
        <w:rPr>
          <w:rFonts w:ascii="仿宋_GB2312" w:hAnsi="仿宋_GB2312" w:eastAsia="仿宋_GB2312" w:cs="仿宋_GB2312" w:hint="eastAsia"/>
          <w:sz w:val="32"/>
          <w:szCs w:val="32"/>
        </w:rPr>
        <w:t>全年招聘高校毕业生64人，其中硕士及以上学历38人；组织各类培训46期，参训4200人次。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（三）推进薪酬绩效改革。</w:t>
      </w:r>
      <w:r>
        <w:rPr>
          <w:rFonts w:ascii="仿宋_GB2312" w:hAnsi="仿宋_GB2312" w:eastAsia="仿宋_GB2312" w:cs="仿宋_GB2312" w:hint="eastAsia"/>
          <w:sz w:val="32"/>
          <w:szCs w:val="32"/>
        </w:rPr>
        <w:t>在3家所属企业开展经理层成员任期制和契约化管理试点，签订年度经营业绩责任书27份。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二、存在的问题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一是部分所属企业绩效考核结果运用不充分，考核与薪酬挂钩不够紧密。二是专业技术人才梯队建设滞后，高级职称人员占比偏低。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三、2027年工作安排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（一）全面推行经理层成员任期制和契约化管理。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（二）完善专业技术人才职业发展通道。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（三）开展人力资源信息系统升级。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3840" w:leftChars="120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某能源集团有限公司人力资源部</w:t>
      </w:r>
    </w:p>
    <w:p>
      <w:pPr>
        <w:keepLines/>
        <w:spacing w:line="578" w:lineRule="exact" w:before="0" w:after="0"/>
        <w:ind w:left="4480" w:leftChars="140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2026年12月20日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