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某市第一医院文件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某一院发〔2026〕【待补：序号】号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关于开展2026年医疗质量安全月活动的通知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各科室：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为落实医疗质量安全核心制度，医院决定于2026年11月开展医疗质量安全月活动。现将有关事项通知如下。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一、活动内容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（一）核心制度自查。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各临床科室对照18项医疗质量安全核心制度开展自查，重点查首诊负责、三级查房、危急值报告制度落实情况。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（二）病历质量抽查。</w:t>
      </w:r>
      <w:r>
        <w:rPr>
          <w:rFonts w:ascii="仿宋_GB2312" w:hAnsi="仿宋_GB2312" w:eastAsia="仿宋_GB2312" w:cs="仿宋_GB2312" w:hint="eastAsia"/>
          <w:sz w:val="32"/>
          <w:szCs w:val="32"/>
        </w:rPr>
        <w:t>医务部会同质控科每周抽查运行病历和终末病历，抽查结果在院周会上通报。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二、工作要求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各科室主任为本科室活动第一责任人，于11月28日前将自查报告报医务部。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某市第一医院</w:t>
      </w:r>
    </w:p>
    <w:p>
      <w:pPr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2026年10月30日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某市第一医院院长办公室</w:t>
              <w:tab/>
              <w:t>【待补：印发日期】印发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