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after="280" w:before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某公司关于审计整改工作10月份进展情况的报告</w:t>
      </w:r>
    </w:p>
    <w:p>
      <w:pPr>
        <w:spacing w:line="560" w:lineRule="exact" w:after="0" w:before="0"/>
      </w:pPr>
      <w:r>
        <w:rPr>
          <w:rFonts w:ascii="仿宋_GB2312" w:hAnsi="仿宋_GB2312" w:eastAsia="仿宋_GB2312"/>
          <w:b w:val="0"/>
          <w:sz w:val="32"/>
        </w:rPr>
        <w:t>集团审计部：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现将我公司审计整改工作10月份进展情况报告如下。</w:t>
      </w:r>
    </w:p>
    <w:p>
      <w:pPr>
        <w:spacing w:line="560" w:lineRule="exact" w:after="0" w:before="0"/>
        <w:ind w:firstLine="640"/>
      </w:pPr>
      <w:r>
        <w:rPr>
          <w:rFonts w:ascii="黑体" w:hAnsi="黑体" w:eastAsia="黑体"/>
          <w:b w:val="0"/>
          <w:sz w:val="32"/>
        </w:rPr>
        <w:t>一、总体情况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审计发现问题共6项。截至目前，已完成整改1项；长期坚持类1项，按期建立合同合规审查清单的阶段任务已完成，培训等工作持续开展；持续推进3项；逾期未完成1项。10月份，第2至第6项均有新进展，其中第5项已由未启动转入实施；第1项无变化。</w:t>
      </w:r>
    </w:p>
    <w:p>
      <w:pPr>
        <w:spacing w:line="560" w:lineRule="exact" w:after="0" w:before="0"/>
        <w:ind w:firstLine="640"/>
      </w:pPr>
      <w:r>
        <w:rPr>
          <w:rFonts w:ascii="黑体" w:hAnsi="黑体" w:eastAsia="黑体"/>
          <w:b w:val="0"/>
          <w:sz w:val="32"/>
        </w:rPr>
        <w:t>二、各项问题整改进展</w:t>
      </w:r>
    </w:p>
    <w:p>
      <w:pPr>
        <w:spacing w:line="560" w:lineRule="exact" w:after="0" w:before="0"/>
        <w:ind w:firstLine="640"/>
      </w:pPr>
      <w:r>
        <w:rPr>
          <w:rFonts w:ascii="楷体_GB2312" w:hAnsi="楷体_GB2312" w:eastAsia="楷体_GB2312"/>
          <w:b w:val="0"/>
          <w:sz w:val="32"/>
        </w:rPr>
        <w:t>（一）已完成整改的问题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第1项，工程变更未履行审批程序问题。4项变更已补办审批手续，《工程变更管理办法》已于8月25日印发（公司〔2026〕41号），该项已完成整改，本月无新情况。</w:t>
      </w:r>
    </w:p>
    <w:p>
      <w:pPr>
        <w:spacing w:line="560" w:lineRule="exact" w:after="0" w:before="0"/>
        <w:ind w:firstLine="640"/>
      </w:pPr>
      <w:r>
        <w:rPr>
          <w:rFonts w:ascii="楷体_GB2312" w:hAnsi="楷体_GB2312" w:eastAsia="楷体_GB2312"/>
          <w:b w:val="0"/>
          <w:sz w:val="32"/>
        </w:rPr>
        <w:t>（二）持续推进的问题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第2项，应收账款催收不力问题。本月又收回欠款90万元，累计已收回210万元，尚欠90万元。对方表示余款年底前支付，目前款项尚未到账。该项完成时限为12月31日，后续将继续按月跟踪回款。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第3项，物资出入库账实核对困难问题。物资管理信息系统已于10月20日上线，目前处于试运行阶段，尚未组织验收。该项完成时限为11月30日，下一步在试运行基础上组织验收。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第5项，下属单位超范围经营问题。本月已成立工作专班，10月22日召开专班会议，目前正在对下属单位经营情况进行摸底，尚未进入清理环节。该项完成时限为12月31日。</w:t>
      </w:r>
    </w:p>
    <w:p>
      <w:pPr>
        <w:spacing w:line="560" w:lineRule="exact" w:after="0" w:before="0"/>
        <w:ind w:firstLine="640"/>
      </w:pPr>
      <w:r>
        <w:rPr>
          <w:rFonts w:ascii="楷体_GB2312" w:hAnsi="楷体_GB2312" w:eastAsia="楷体_GB2312"/>
          <w:b w:val="0"/>
          <w:sz w:val="32"/>
        </w:rPr>
        <w:t>（三）长期坚持的问题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第4项，合规管理意识不强问题。合同合规审查清单已于9月印发。10月18日召开第一期合规培训，共60人参加，有签到表备查。该项将按每季度培训一次的要求长期坚持。</w:t>
      </w:r>
    </w:p>
    <w:p>
      <w:pPr>
        <w:spacing w:line="560" w:lineRule="exact" w:after="0" w:before="0"/>
        <w:ind w:firstLine="640"/>
      </w:pPr>
      <w:r>
        <w:rPr>
          <w:rFonts w:ascii="楷体_GB2312" w:hAnsi="楷体_GB2312" w:eastAsia="楷体_GB2312"/>
          <w:b w:val="0"/>
          <w:sz w:val="32"/>
        </w:rPr>
        <w:t>（四）逾期未完成的问题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第6项，土地使用权证办理滞后问题。该项完成时限为9月30日，目前土地使用权证尚未办下，主要原因是办理材料卡在对方单位盖章环节，预计11月才能办结，已超出原定时限。</w:t>
      </w:r>
    </w:p>
    <w:p>
      <w:pPr>
        <w:spacing w:line="560" w:lineRule="exact" w:after="0" w:before="0"/>
        <w:ind w:firstLine="640"/>
      </w:pPr>
      <w:r>
        <w:rPr>
          <w:rFonts w:ascii="黑体" w:hAnsi="黑体" w:eastAsia="黑体"/>
          <w:b w:val="0"/>
          <w:sz w:val="32"/>
        </w:rPr>
        <w:t>三、存在的问题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（一）第6项已逾期，办理进度受对方单位盖章环节制约，我公司无法单方控制办结时间。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（二）第2项尚有90万元欠款未收回，对方年底前付款的表示尚无到账保证，存在不能按期收回的风险。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（三）第5项目前仍处于摸底阶段，距12月31日完成时限约两个月，时间较紧。</w:t>
      </w:r>
    </w:p>
    <w:p>
      <w:pPr>
        <w:spacing w:line="560" w:lineRule="exact" w:after="0" w:before="0"/>
        <w:ind w:firstLine="640"/>
      </w:pPr>
      <w:r>
        <w:rPr>
          <w:rFonts w:ascii="黑体" w:hAnsi="黑体" w:eastAsia="黑体"/>
          <w:b w:val="0"/>
          <w:sz w:val="32"/>
        </w:rPr>
        <w:t>四、下一步工作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（一）第6项：由资产管理部继续与对方单位对接，推动尽快完成盖章，取得土地使用权证。如确需调整完成时限，将另行按程序报批。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（二）第2项：由财务部继续按月跟踪，督促对方按承诺支付余款，对到账情况及时报告。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（三）第3项：由物资部做好试运行期间问题整改，11月30日前完成系统验收。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（四）第5项：由企业管理部在摸底基础上形成清理清单，明确清理措施和时间节点，12月31日前完成清理。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（五）第4项：由法务合规部按季度安排合规培训，并继续落实合同合规审查清单。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特此报告。</w:t>
      </w:r>
    </w:p>
    <w:p>
      <w:pPr>
        <w:spacing w:line="560" w:lineRule="exact" w:after="0" w:before="0"/>
        <w:ind w:firstLine="640"/>
      </w:pPr>
      <w:r>
        <w:rPr>
          <w:rFonts w:ascii="仿宋_GB2312" w:hAnsi="仿宋_GB2312" w:eastAsia="仿宋_GB2312"/>
          <w:b w:val="0"/>
          <w:sz w:val="32"/>
        </w:rPr>
        <w:t>附件：某公司审计整改台账（截至2026年10月）</w:t>
      </w:r>
    </w:p>
    <w:p>
      <w:pPr>
        <w:spacing w:line="560" w:lineRule="exact" w:after="0" w:before="0"/>
        <w:ind w:right="640"/>
        <w:jc w:val="right"/>
      </w:pPr>
      <w:r>
        <w:rPr>
          <w:rFonts w:ascii="仿宋_GB2312" w:hAnsi="仿宋_GB2312" w:eastAsia="仿宋_GB2312"/>
          <w:b w:val="0"/>
          <w:sz w:val="32"/>
        </w:rPr>
        <w:t>某公司</w:t>
      </w:r>
    </w:p>
    <w:p>
      <w:pPr>
        <w:spacing w:line="560" w:lineRule="exact" w:after="0" w:before="0"/>
        <w:ind w:right="320"/>
        <w:jc w:val="right"/>
      </w:pPr>
      <w:r>
        <w:rPr>
          <w:rFonts w:ascii="仿宋_GB2312" w:hAnsi="仿宋_GB2312" w:eastAsia="仿宋_GB2312"/>
          <w:b w:val="0"/>
          <w:sz w:val="32"/>
        </w:rPr>
        <w:t>2026年10月  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