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napToGrid w:val="0"/>
        <w:spacing w:line="578" w:lineRule="exact" w:before="0" w:after="0"/>
        <w:ind w:left="0" w:leftChars="0" w:right="0" w:rightChars="0" w:firstLine="0" w:firstLineChars="0"/>
        <w:jc w:val="center"/>
      </w:pPr>
      <w:r>
        <w:rPr>
          <w:rFonts w:ascii="方正小标宋简体" w:hAnsi="方正小标宋简体" w:eastAsia="方正小标宋简体" w:cs="方正小标宋简体" w:hint="eastAsia"/>
          <w:sz w:val="44"/>
          <w:szCs w:val="44"/>
        </w:rPr>
        <w:t>某市某医院心血管内科2026年工作总结</w:t>
      </w:r>
    </w:p>
    <w:p>
      <w:pPr>
        <w:spacing w:line="578" w:lineRule="exact" w:before="0" w:after="0"/>
        <w:ind w:left="0" w:leftChars="0" w:right="0" w:rightChars="0" w:firstLine="0" w:firstLineChars="0"/>
      </w:pP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1—11月，心血管内科门诊48652人次、出院3518人次，同比分别增长7.6%和6.5%；四级手术占比32.6%，较上年同期提高2.2个百分点；床位使用率94.4%，较上年同期下降3.7个百分点；平均住院日7.1天；CMI为【待补：2026年1—11月CMI，病案科提供】（上年同期1.13），次均住院费用为【待补：2026年1—11月次均住院费用及上年同期数，财务科提供】元。现将2026年工作总结如下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一、主要工作和成效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（一）推进胸痛中心和介入救治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1月起启动胸痛中心复审准备，重点控制急诊PCI门球时间，目标为90分钟以内，实际完成情况为【待补：门球时间中位数或达标率，胸痛中心数据填报平台】。6月，胸痛中心通过省级复审【待核实：复审结果通知的名称和文号】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1—11月完成PCI 612台，上年同期为538台，同比增长13.8%。8月导管室更换DSA设备，装机期间介入手术暂停半个月，其间部分急诊患者转往兄弟医院救治。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（二）开展左心耳封堵新技术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3月开展左心耳封堵术，3月18日完成首例手术，患者张某，男，72岁，术后第5天出院。全年完成左心耳封堵术约20台【待核实：准确台数，用户提供为“大概20来台”，请按手术麻醉系统统计核对】。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（三）抓好病历质量和医疗安全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上半年院级医疗质量检查中，科室病历甲级率为91.8%，未达到医院95%的要求。下半年科室质控小组每周抽查病历，整改后病历甲级率为【待补：下半年或1—11月病历甲级率，质控办提供】。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全年上报不良事件11例，无严重不良事件。抗菌药物使用强度为【待补：使用强度数值，药学部或HIS提供】，控制在医院下达的指标以内。各季度患者满意度均在95%以上。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（四）开展心力衰竭出院随访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护士长牵头对心力衰竭出院患者开展随访，出院后第7天、第30天各电话随访一次，1—11月共随访430人次。心力衰竭患者30天再入院率为【待补：30天再入院率，信息科导出】。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（五）加强队伍建设和教学科研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2026年有2名规培结业医生留科工作，1名护士调出，现有医生18人、护士36人。带教进修医生6人、规培生24人次。获市卫生健康委科研课题立项1项，经费8万元；发表SCI论文2篇、中文核心期刊论文3篇。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二、存在的问题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（一）夜间急诊介入人手紧张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夜间能独立完成急诊PCI的医生只有3名，经常连续值班。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（二）导管室只有一间，排台紧张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科室现有导管室一间，手术排台紧张。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（三）心力衰竭病组DRG费用超支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医院推行DRG付费后，科室部分病组费用超支，主要是心力衰竭病组，住院日偏长【待补：超支病组数量、超支金额和心力衰竭病组平均住院日，医保办或病案科提供】。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0"/>
      </w:pPr>
      <w:r>
        <w:rPr>
          <w:rFonts w:ascii="黑体" w:hAnsi="黑体" w:eastAsia="黑体" w:cs="黑体" w:hint="eastAsia"/>
          <w:sz w:val="32"/>
          <w:szCs w:val="32"/>
        </w:rPr>
        <w:t>三、2027年工作打算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（一）补充夜间急诊介入力量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拟安排2名年轻医生于2027年上半年参加介入资质考核，增加夜间能独立完成急诊PCI的医生人数。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（二）申请增设导管室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拟向医院申请增设一间导管室，缓解手术排台紧张。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（三）控制心力衰竭病组费用</w:t>
      </w:r>
    </w:p>
    <w:p>
      <w:pPr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针对心力衰竭病组DRG费用超支、住院日偏长的问题，【待补：具体措施】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  <w:outlineLvl w:val="1"/>
      </w:pPr>
      <w:r>
        <w:rPr>
          <w:rFonts w:ascii="楷体_GB2312" w:hAnsi="楷体_GB2312" w:eastAsia="楷体_GB2312" w:cs="楷体_GB2312" w:hint="eastAsia"/>
          <w:sz w:val="32"/>
          <w:szCs w:val="32"/>
        </w:rPr>
        <w:t>（四）开设心脏康复门诊</w:t>
      </w:r>
    </w:p>
    <w:p>
      <w:pPr>
        <w:keepNext/>
        <w:spacing w:line="578" w:lineRule="exact" w:before="0" w:after="0"/>
        <w:ind w:left="0" w:leftChars="0" w:right="0" w:rightChars="0" w:firstLine="640" w:firstLineChars="200"/>
        <w:jc w:val="both"/>
      </w:pPr>
      <w:r>
        <w:rPr>
          <w:rFonts w:ascii="仿宋_GB2312" w:hAnsi="仿宋_GB2312" w:eastAsia="仿宋_GB2312" w:cs="仿宋_GB2312" w:hint="eastAsia"/>
          <w:sz w:val="32"/>
          <w:szCs w:val="32"/>
        </w:rPr>
        <w:t>拟开设心脏康复门诊，已选派1名护士外出进修。</w:t>
      </w:r>
    </w:p>
    <w:p>
      <w:pPr>
        <w:keepNext/>
        <w:spacing w:line="578" w:lineRule="exact" w:before="0" w:after="0"/>
        <w:ind w:left="0" w:leftChars="0" w:right="0" w:rightChars="0" w:firstLine="0" w:firstLineChars="0"/>
      </w:pPr>
    </w:p>
    <w:p>
      <w:pPr>
        <w:keepNext/>
        <w:keepLines/>
        <w:spacing w:line="578" w:lineRule="exact" w:before="0" w:after="0"/>
        <w:ind w:left="4800" w:leftChars="1500" w:right="0" w:rightChars="0" w:firstLine="0" w:firstLineChars="0"/>
        <w:jc w:val="left"/>
      </w:pPr>
      <w:r>
        <w:rPr>
          <w:rFonts w:ascii="仿宋_GB2312" w:hAnsi="仿宋_GB2312" w:eastAsia="仿宋_GB2312" w:cs="仿宋_GB2312" w:hint="eastAsia"/>
          <w:sz w:val="32"/>
          <w:szCs w:val="32"/>
        </w:rPr>
        <w:t>心血管内科</w:t>
      </w:r>
    </w:p>
    <w:p>
      <w:pPr>
        <w:keepLines/>
        <w:spacing w:line="578" w:lineRule="exact" w:before="0" w:after="0"/>
        <w:ind w:left="0" w:leftChars="0" w:right="640" w:rightChars="200" w:firstLine="0" w:firstLineChars="0"/>
        <w:jc w:val="right"/>
      </w:pPr>
      <w:r>
        <w:rPr>
          <w:rFonts w:ascii="仿宋_GB2312" w:hAnsi="仿宋_GB2312" w:eastAsia="仿宋_GB2312" w:cs="仿宋_GB2312" w:hint="eastAsia"/>
          <w:sz w:val="32"/>
          <w:szCs w:val="32"/>
        </w:rPr>
        <w:t>【待补：成文日期】</w:t>
      </w:r>
    </w:p>
    <w:sectPr w:rsidR="00FC693F" w:rsidRPr="0006063C" w:rsidSect="00034616">
      <w:footerReference w:type="default" r:id="rId9"/>
      <w:footerReference w:type="even" r:id="rId10"/>
      <w:pgSz w:w="11906" w:h="16838" w:code="9"/>
      <w:pgMar w:top="2098" w:right="1474" w:bottom="1984" w:left="1587" w:header="850" w:footer="1134" w:gutter="0"/>
      <w:cols w:space="720"/>
      <w:docGrid w:linePitch="579" w:type="linesAndChars" w:charSpace="-84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0" w:right="280" w:firstLine="0"/>
      <w:jc w:val="righ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napToGrid w:val="0"/>
      <w:spacing w:line="240" w:lineRule="auto" w:before="0" w:after="260"/>
      <w:ind w:left="280" w:right="0" w:firstLine="0"/>
      <w:jc w:val="left"/>
    </w:pPr>
    <w:r>
      <w:rPr>
        <w:rFonts w:ascii="宋体" w:hAnsi="宋体" w:eastAsia="宋体" w:cs="宋体" w:hint="eastAsia"/>
        <w:sz w:val="28"/>
        <w:szCs w:val="28"/>
      </w:rPr>
      <w:t xml:space="preserve">— </w:t>
    </w:r>
    <w:r>
      <w:rPr>
        <w:rFonts w:ascii="宋体" w:hAnsi="宋体" w:eastAsia="宋体" w:cs="宋体" w:hint="eastAsia"/>
        <w:sz w:val="28"/>
        <w:szCs w:val="28"/>
      </w:rPr>
      <w:fldChar w:fldCharType="begin"/>
    </w:r>
    <w:r>
      <w:rPr>
        <w:rFonts w:ascii="宋体" w:hAnsi="宋体" w:eastAsia="宋体" w:cs="宋体" w:hint="eastAsia"/>
        <w:sz w:val="28"/>
        <w:szCs w:val="28"/>
      </w:rPr>
      <w:instrText xml:space="preserve"> PAGE </w:instrText>
    </w:r>
    <w:r>
      <w:rPr>
        <w:rFonts w:ascii="宋体" w:hAnsi="宋体" w:eastAsia="宋体" w:cs="宋体" w:hint="eastAsia"/>
        <w:sz w:val="28"/>
        <w:szCs w:val="28"/>
      </w:rPr>
      <w:fldChar w:fldCharType="separate"/>
    </w:r>
    <w:r>
      <w:rPr>
        <w:rFonts w:ascii="宋体" w:hAnsi="宋体" w:eastAsia="宋体" w:cs="宋体" w:hint="eastAsia"/>
        <w:sz w:val="28"/>
        <w:szCs w:val="28"/>
      </w:rPr>
      <w:t>1</w:t>
    </w:r>
    <w:r>
      <w:rPr>
        <w:rFonts w:ascii="宋体" w:hAnsi="宋体" w:eastAsia="宋体" w:cs="宋体" w:hint="eastAsia"/>
        <w:sz w:val="28"/>
        <w:szCs w:val="28"/>
      </w:rPr>
      <w:fldChar w:fldCharType="end"/>
    </w:r>
    <w:r>
      <w:rPr>
        <w:rFonts w:ascii="宋体" w:hAnsi="宋体" w:eastAsia="宋体" w:cs="宋体" w:hint="eastAsia"/>
        <w:sz w:val="28"/>
        <w:szCs w:val="28"/>
      </w:rPr>
      <w:t xml:space="preserve"> —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evenAndOddHeaders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仿宋_GB2312" w:hAnsi="仿宋_GB2312" w:eastAsia="仿宋_GB2312" w:cs="仿宋_GB2312" w:hint="eastAsia"/>
        <w:sz w:val="32"/>
        <w:szCs w:val="3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autoSpaceDE w:val="0"/>
      <w:autoSpaceDN w:val="0"/>
      <w:spacing w:line="578" w:lineRule="exact" w:before="0" w:after="0"/>
      <w:jc w:val="both"/>
    </w:pPr>
    <w:rPr>
      <w:rFonts w:ascii="仿宋_GB2312" w:hAnsi="仿宋_GB2312" w:eastAsia="仿宋_GB2312" w:cs="仿宋_GB2312" w:hint="eastAsia"/>
      <w:sz w:val="32"/>
      <w:szCs w:val="3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