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left"/>
      </w:pPr>
      <w:r>
        <w:rPr>
          <w:rFonts w:eastAsia="仿宋" w:ascii="Times New Roman" w:hAnsi="Times New Roman"/>
          <w:b/>
          <w:sz w:val="32"/>
        </w:rPr>
        <w:t>关于全区农贸市场冷链设施运行情况的报告</w:t>
      </w:r>
    </w:p>
    <w:p>
      <w:pPr>
        <w:spacing w:line="360" w:lineRule="auto" w:before="0" w:after="0"/>
      </w:pPr>
      <w:r>
        <w:rPr>
          <w:rFonts w:eastAsia="仿宋" w:ascii="Times New Roman" w:hAnsi="Times New Roman"/>
          <w:b w:val="0"/>
          <w:sz w:val="24"/>
        </w:rPr>
        <w:t>区人民政府：</w:t>
      </w:r>
    </w:p>
    <w:p>
      <w:pPr>
        <w:spacing w:line="360" w:lineRule="auto" w:before="0" w:after="0"/>
        <w:ind w:firstLine="480"/>
      </w:pPr>
      <w:r>
        <w:rPr>
          <w:rFonts w:eastAsia="仿宋" w:ascii="Times New Roman" w:hAnsi="Times New Roman"/>
          <w:b w:val="0"/>
          <w:sz w:val="24"/>
        </w:rPr>
        <w:t>按照区政府办公室的统一部署，区市场监督管理局会同区商务局，于2026年9月下旬对全区14家农贸市场的冷链设施运行情况进行了摸底检查，现将有关情况报告如下。</w:t>
      </w:r>
    </w:p>
    <w:p>
      <w:pPr>
        <w:spacing w:line="360" w:lineRule="auto" w:before="0" w:after="0"/>
      </w:pPr>
      <w:r>
        <w:rPr>
          <w:rFonts w:eastAsia="仿宋" w:ascii="Times New Roman" w:hAnsi="Times New Roman"/>
          <w:b/>
          <w:sz w:val="24"/>
        </w:rPr>
        <w:t>1. 基本情况</w:t>
      </w:r>
    </w:p>
    <w:p>
      <w:pPr>
        <w:spacing w:line="360" w:lineRule="auto" w:before="0" w:after="0"/>
        <w:ind w:firstLine="480"/>
      </w:pPr>
      <w:r>
        <w:rPr>
          <w:rFonts w:eastAsia="仿宋" w:ascii="Times New Roman" w:hAnsi="Times New Roman"/>
          <w:b w:val="0"/>
          <w:sz w:val="24"/>
        </w:rPr>
        <w:t>全区现有农贸市场14家，其中配备冷库或冷藏柜的11家，占78.6%。11家市场共有冷库17座、冷藏柜86组，总库容约640立方米，日均进出冷链生鲜约38吨，主要为肉类、水产和乳制品。</w:t>
      </w:r>
    </w:p>
    <w:p>
      <w:pPr>
        <w:spacing w:line="360" w:lineRule="auto" w:before="0" w:after="0"/>
      </w:pPr>
      <w:r>
        <w:rPr>
          <w:rFonts w:eastAsia="仿宋" w:ascii="Times New Roman" w:hAnsi="Times New Roman"/>
          <w:b/>
          <w:sz w:val="24"/>
        </w:rPr>
        <w:t>2. 存在的主要问题</w:t>
      </w:r>
    </w:p>
    <w:p>
      <w:pPr>
        <w:spacing w:line="360" w:lineRule="auto" w:before="0" w:after="0"/>
      </w:pPr>
      <w:r>
        <w:rPr>
          <w:rFonts w:eastAsia="仿宋" w:ascii="Times New Roman" w:hAnsi="Times New Roman"/>
          <w:b w:val="0"/>
          <w:sz w:val="24"/>
        </w:rPr>
        <w:t>2.1 设备老化问题突出</w:t>
      </w:r>
    </w:p>
    <w:p>
      <w:pPr>
        <w:spacing w:line="360" w:lineRule="auto" w:before="0" w:after="0"/>
        <w:ind w:firstLine="480"/>
      </w:pPr>
      <w:r>
        <w:rPr>
          <w:rFonts w:eastAsia="仿宋" w:ascii="Times New Roman" w:hAnsi="Times New Roman"/>
          <w:b w:val="0"/>
          <w:sz w:val="24"/>
        </w:rPr>
        <w:t>17座冷库中，有6座投入使用已超过10年，制冷机组能效偏低，其中2座近半年内出现过3次以上停机故障。</w:t>
      </w:r>
    </w:p>
    <w:p>
      <w:pPr>
        <w:spacing w:line="360" w:lineRule="auto" w:before="0" w:after="0"/>
      </w:pPr>
      <w:r>
        <w:rPr>
          <w:rFonts w:eastAsia="仿宋" w:ascii="Times New Roman" w:hAnsi="Times New Roman"/>
          <w:b w:val="0"/>
          <w:sz w:val="24"/>
        </w:rPr>
        <w:t>2.2 温度监控不到位</w:t>
      </w:r>
    </w:p>
    <w:p>
      <w:pPr>
        <w:spacing w:line="360" w:lineRule="auto" w:before="0" w:after="0"/>
        <w:ind w:firstLine="480"/>
      </w:pPr>
      <w:r>
        <w:rPr>
          <w:rFonts w:eastAsia="仿宋" w:ascii="Times New Roman" w:hAnsi="Times New Roman"/>
          <w:b w:val="0"/>
          <w:sz w:val="24"/>
        </w:rPr>
        <w:t>有5家市场的冷库未安装温度自动记录装置，依靠人工抄表，记录不连续；另有2家市场的冷藏柜温度显示与实测偏差超过3摄氏度。</w:t>
      </w:r>
    </w:p>
    <w:p>
      <w:pPr>
        <w:spacing w:line="360" w:lineRule="auto" w:before="0" w:after="0"/>
      </w:pPr>
      <w:r>
        <w:rPr>
          <w:rFonts w:eastAsia="仿宋" w:ascii="Times New Roman" w:hAnsi="Times New Roman"/>
          <w:b w:val="0"/>
          <w:sz w:val="24"/>
        </w:rPr>
        <w:t>2.3 经营户使用不规范</w:t>
      </w:r>
    </w:p>
    <w:p>
      <w:pPr>
        <w:spacing w:line="360" w:lineRule="auto" w:before="0" w:after="0"/>
      </w:pPr>
      <w:r>
        <w:rPr>
          <w:rFonts w:eastAsia="仿宋" w:ascii="Times New Roman" w:hAnsi="Times New Roman"/>
          <w:b w:val="0"/>
          <w:sz w:val="24"/>
        </w:rPr>
        <w:t>(1) 个别经营户把冷库当作普通仓库，混放生熟食品；</w:t>
      </w:r>
    </w:p>
    <w:p>
      <w:pPr>
        <w:spacing w:line="360" w:lineRule="auto" w:before="0" w:after="0"/>
      </w:pPr>
      <w:r>
        <w:rPr>
          <w:rFonts w:eastAsia="仿宋" w:ascii="Times New Roman" w:hAnsi="Times New Roman"/>
          <w:b w:val="0"/>
          <w:sz w:val="24"/>
        </w:rPr>
        <w:t>(2) 部分冷藏柜长期超量堆放，影响冷气循环；</w:t>
      </w:r>
    </w:p>
    <w:p>
      <w:pPr>
        <w:spacing w:line="360" w:lineRule="auto" w:before="0" w:after="0"/>
      </w:pPr>
      <w:r>
        <w:rPr>
          <w:rFonts w:eastAsia="仿宋" w:ascii="Times New Roman" w:hAnsi="Times New Roman"/>
          <w:b w:val="0"/>
          <w:sz w:val="24"/>
        </w:rPr>
        <w:t>(3) 进货查验和台账记录不全，可追溯性不足。</w:t>
      </w:r>
    </w:p>
    <w:p>
      <w:pPr>
        <w:spacing w:line="360" w:lineRule="auto" w:before="0" w:after="0"/>
      </w:pPr>
      <w:r>
        <w:rPr>
          <w:rFonts w:eastAsia="仿宋" w:ascii="Times New Roman" w:hAnsi="Times New Roman"/>
          <w:b w:val="0"/>
          <w:sz w:val="24"/>
        </w:rPr>
        <w:t>2.4 监管力量相对薄弱</w:t>
      </w:r>
    </w:p>
    <w:p>
      <w:pPr>
        <w:spacing w:line="360" w:lineRule="auto" w:before="0" w:after="0"/>
        <w:ind w:firstLine="480"/>
      </w:pPr>
      <w:r>
        <w:rPr>
          <w:rFonts w:eastAsia="仿宋" w:ascii="Times New Roman" w:hAnsi="Times New Roman"/>
          <w:b w:val="0"/>
          <w:sz w:val="24"/>
        </w:rPr>
        <w:t>冷链设施的专业检查涉及制冷设备和计量器具，基层监管人员缺少专业培训，目前主要依靠外观检查和查阅台账，难以及时发现设备运行中的深层问题。检查中还发现，有3家市场的开办方对冷链设施的维护责任划分不清，设备出现故障后互相推诿，修复周期较长。</w:t>
      </w:r>
    </w:p>
    <w:p>
      <w:pPr>
        <w:spacing w:line="360" w:lineRule="auto" w:before="0" w:after="0"/>
      </w:pPr>
      <w:r>
        <w:rPr>
          <w:rFonts w:eastAsia="仿宋" w:ascii="Times New Roman" w:hAnsi="Times New Roman"/>
          <w:b w:val="0"/>
          <w:sz w:val="24"/>
        </w:rPr>
        <w:t>2.5 应急处置预案不健全</w:t>
      </w:r>
    </w:p>
    <w:p>
      <w:pPr>
        <w:spacing w:line="360" w:lineRule="auto" w:before="0" w:after="0"/>
        <w:ind w:firstLine="480"/>
      </w:pPr>
      <w:r>
        <w:rPr>
          <w:rFonts w:eastAsia="仿宋" w:ascii="Times New Roman" w:hAnsi="Times New Roman"/>
          <w:b w:val="0"/>
          <w:sz w:val="24"/>
        </w:rPr>
        <w:t>检查的11家配备冷链设施的市场中，仅有4家制定了停电、制冷故障等情况下的应急处置预案，其余7家没有明确的备用电源和临时转移方案。2026年8月曾有1家市场因变压器检修停电超过6小时，库存的约1.2吨冷鲜肉因温度上升被迫报废，经营户直接损失较大。</w:t>
      </w:r>
    </w:p>
    <w:p>
      <w:pPr>
        <w:spacing w:line="360" w:lineRule="auto" w:before="0" w:after="0"/>
      </w:pPr>
      <w:r>
        <w:rPr>
          <w:rFonts w:eastAsia="仿宋" w:ascii="Times New Roman" w:hAnsi="Times New Roman"/>
          <w:b/>
          <w:sz w:val="24"/>
        </w:rPr>
        <w:t>3. 下一步工作</w:t>
      </w:r>
    </w:p>
    <w:p>
      <w:pPr>
        <w:spacing w:line="360" w:lineRule="auto" w:before="0" w:after="0"/>
        <w:ind w:firstLine="480"/>
      </w:pPr>
      <w:r>
        <w:rPr>
          <w:rFonts w:eastAsia="仿宋" w:ascii="Times New Roman" w:hAnsi="Times New Roman"/>
          <w:b w:val="0"/>
          <w:sz w:val="24"/>
        </w:rPr>
        <w:t>一是对运行故障频发的2座冷库，督促市场开办方在11月底前完成设备更换；二是推动未安装温控装置的5家市场在年底前完成加装，并接入区市场监管平台；三是组织开展一次冷链设施使用规范培训，并将台账记录纳入日常检查。</w:t>
      </w:r>
    </w:p>
    <w:p>
      <w:pPr>
        <w:spacing w:line="360" w:lineRule="auto" w:before="0" w:after="0"/>
        <w:ind w:firstLine="480"/>
      </w:pPr>
      <w:r>
        <w:rPr>
          <w:rFonts w:eastAsia="仿宋" w:ascii="Times New Roman" w:hAnsi="Times New Roman"/>
          <w:b w:val="0"/>
          <w:sz w:val="24"/>
        </w:rPr>
        <w:t>特此报告。</w:t>
      </w:r>
    </w:p>
    <w:p>
      <w:pPr>
        <w:spacing w:line="360" w:lineRule="auto" w:before="0" w:after="0"/>
        <w:jc w:val="right"/>
      </w:pPr>
      <w:r>
        <w:rPr>
          <w:rFonts w:eastAsia="仿宋" w:ascii="Times New Roman" w:hAnsi="Times New Roman"/>
          <w:b w:val="0"/>
          <w:sz w:val="24"/>
        </w:rPr>
        <w:t>南湖区市场监督管理局</w:t>
      </w:r>
    </w:p>
    <w:p>
      <w:pPr>
        <w:spacing w:line="360" w:lineRule="auto" w:before="0" w:after="0"/>
        <w:jc w:val="right"/>
      </w:pPr>
      <w:r>
        <w:rPr>
          <w:rFonts w:eastAsia="仿宋" w:ascii="Times New Roman" w:hAnsi="Times New Roman"/>
          <w:b w:val="0"/>
          <w:sz w:val="24"/>
        </w:rPr>
        <w:t>2026年10月15日</w:t>
      </w:r>
    </w:p>
    <w:sectPr w:rsidR="00FC693F" w:rsidRPr="0006063C" w:rsidSect="00034616">
      <w:head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eastAsia="仿宋" w:ascii="Times New Roman" w:hAnsi="Times New Roman"/>
        <w:b w:val="0"/>
        <w:sz w:val="21"/>
      </w:rPr>
      <w:fldChar w:fldCharType="begin"/>
    </w:r>
    <w:r>
      <w:rPr>
        <w:rFonts w:eastAsia="仿宋" w:ascii="Times New Roman" w:hAnsi="Times New Roman"/>
        <w:b w:val="0"/>
        <w:sz w:val="21"/>
      </w:rPr>
      <w:instrText xml:space="preserve">PAGE</w:instrText>
    </w:r>
    <w:r>
      <w:rPr>
        <w:rFonts w:eastAsia="仿宋" w:ascii="Times New Roman" w:hAnsi="Times New Roman"/>
        <w:b w:val="0"/>
        <w:sz w:val="21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