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 w:after="440"/>
        <w:jc w:val="center"/>
        <w:pBdr>
          <w:bottom w:val="nil"/>
        </w:pBdr>
      </w:pPr>
      <w:r>
        <w:rPr>
          <w:rFonts w:ascii="Times New Roman" w:hAnsi="Times New Roman" w:cs="Times New Roman" w:eastAsia="黑体"/>
        </w:rPr>
        <w:t>文本增强多领域时间序列预测</w:t>
      </w:r>
    </w:p>
    <w:p>
      <w:pPr>
        <w:jc w:val="center"/>
      </w:pPr>
      <w:r>
        <w:rPr>
          <w:rFonts w:ascii="Times New Roman" w:hAnsi="Times New Roman" w:eastAsia="宋体" w:cs="Times New Roman"/>
          <w:b/>
          <w:sz w:val="30"/>
        </w:rPr>
        <w:t>严格时点对齐 反事实检验与安全回退</w:t>
      </w:r>
    </w:p>
    <w:p>
      <w:pPr>
        <w:spacing w:before="360"/>
        <w:jc w:val="center"/>
      </w:pPr>
      <w:r>
        <w:rPr>
          <w:rFonts w:ascii="Times New Roman" w:hAnsi="Times New Roman" w:cs="Times New Roman" w:eastAsia="宋体"/>
          <w:sz w:val="24"/>
        </w:rPr>
        <w:t>第4周课程设计选题与初步技术方案</w:t>
      </w:r>
    </w:p>
    <w:p>
      <w:pPr>
        <w:spacing w:after="1840"/>
      </w:pPr>
    </w:p>
    <w:p>
      <w:pPr>
        <w:spacing w:after="160"/>
        <w:jc w:val="center"/>
      </w:pPr>
      <w:r>
        <w:rPr>
          <w:rFonts w:ascii="Times New Roman" w:hAnsi="Times New Roman" w:cs="Times New Roman" w:eastAsia="宋体"/>
          <w:sz w:val="22"/>
        </w:rPr>
        <w:t>课程名称  人工智能</w:t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sz w:val="22"/>
        </w:rPr>
        <w:t>作业性质  个人课程设计</w:t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sz w:val="22"/>
        </w:rPr>
        <w:t>姓名学号  ____________________</w:t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sz w:val="22"/>
        </w:rPr>
        <w:t>提交日期  ____________________</w:t>
      </w:r>
    </w:p>
    <w:p>
      <w:r>
        <w:rPr>
          <w:rFonts w:ascii="Times New Roman" w:hAnsi="Times New Roman" w:cs="Times New Roman" w:eastAsia="宋体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摘要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本课程设计拟研究外部文本在多领域时间序列预测中的真实增益。核心问题不是简单增加文本输入，而是在严格排除未来信息后，判断文本语义何时能稳定改善预测，以及证据不足时如何退回可靠的纯数值模型。项目计划以 Time-MMD 为主数据，在气候、能源、经济、交通、农业和安全六个领域构建18项领域与预测跨度组合，并以 ETTh1、ETTh2 作为纯数值外部基准。候选系统由数值专家池、冻结句向量、语义残差、频率交互、文本置换检验和验证期安全选择组成。最终交付包括源代码、逐步数据审计、实验表图、书面报告和交互式原型。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本方案的可检验目标是：若文本候选不能在预先保留的验证期同时超过数值回退、通过分段稳定性和文本置换门槛，则系统不启用文本。该设计允许最终结论为否定结果，从而避免只报告成功案例。</w:t>
      </w:r>
    </w:p>
    <w:p>
      <w:r>
        <w:rPr>
          <w:rFonts w:ascii="Times New Roman" w:hAnsi="Times New Roman" w:cs="Times New Roman" w:eastAsia="宋体"/>
          <w:b/>
        </w:rPr>
        <w:t xml:space="preserve">关键词  </w:t>
      </w:r>
      <w:r>
        <w:rPr>
          <w:rFonts w:ascii="Times New Roman" w:hAnsi="Times New Roman" w:cs="Times New Roman" w:eastAsia="宋体"/>
        </w:rPr>
        <w:t>多模态时间序列  时点对齐  反事实检验  安全融合  负迁移</w:t>
      </w:r>
    </w:p>
    <w:p>
      <w:r>
        <w:rPr>
          <w:rFonts w:ascii="Times New Roman" w:hAnsi="Times New Roman" w:cs="Times New Roman" w:eastAsia="宋体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目录</w:t>
      </w:r>
    </w:p>
    <w:p>
      <w:pPr>
        <w:spacing w:after="60"/>
      </w:pPr>
      <w:r>
        <w:rPr>
          <w:rFonts w:ascii="Times New Roman" w:hAnsi="Times New Roman" w:cs="Times New Roman" w:eastAsia="宋体"/>
        </w:rPr>
        <w:t>1 选题背景与问题定义</w:t>
      </w:r>
    </w:p>
    <w:p>
      <w:pPr>
        <w:spacing w:after="60"/>
      </w:pPr>
      <w:r>
        <w:rPr>
          <w:rFonts w:ascii="Times New Roman" w:hAnsi="Times New Roman" w:cs="Times New Roman" w:eastAsia="宋体"/>
        </w:rPr>
        <w:t>2 文献调研与方案取舍</w:t>
      </w:r>
    </w:p>
    <w:p>
      <w:pPr>
        <w:spacing w:after="60"/>
      </w:pPr>
      <w:r>
        <w:rPr>
          <w:rFonts w:ascii="Times New Roman" w:hAnsi="Times New Roman" w:cs="Times New Roman" w:eastAsia="宋体"/>
        </w:rPr>
        <w:t>3 数据与任务设计</w:t>
      </w:r>
    </w:p>
    <w:p>
      <w:pPr>
        <w:spacing w:after="60"/>
      </w:pPr>
      <w:r>
        <w:rPr>
          <w:rFonts w:ascii="Times New Roman" w:hAnsi="Times New Roman" w:cs="Times New Roman" w:eastAsia="宋体"/>
        </w:rPr>
        <w:t>4 初步算法方案</w:t>
      </w:r>
    </w:p>
    <w:p>
      <w:pPr>
        <w:spacing w:after="60"/>
      </w:pPr>
      <w:r>
        <w:rPr>
          <w:rFonts w:ascii="Times New Roman" w:hAnsi="Times New Roman" w:cs="Times New Roman" w:eastAsia="宋体"/>
        </w:rPr>
        <w:t>5 实验与验证计划</w:t>
      </w:r>
    </w:p>
    <w:p>
      <w:pPr>
        <w:spacing w:after="60"/>
      </w:pPr>
      <w:r>
        <w:rPr>
          <w:rFonts w:ascii="Times New Roman" w:hAnsi="Times New Roman" w:cs="Times New Roman" w:eastAsia="宋体"/>
        </w:rPr>
        <w:t>6 进度安排 风险与交付</w:t>
      </w:r>
    </w:p>
    <w:p>
      <w:pPr>
        <w:spacing w:after="60"/>
      </w:pPr>
      <w:r>
        <w:rPr>
          <w:rFonts w:ascii="Times New Roman" w:hAnsi="Times New Roman" w:cs="Times New Roman" w:eastAsia="宋体"/>
        </w:rPr>
        <w:t>参考文献</w:t>
      </w:r>
    </w:p>
    <w:p>
      <w:r>
        <w:rPr>
          <w:rFonts w:ascii="Times New Roman" w:hAnsi="Times New Roman" w:cs="Times New Roman" w:eastAsia="宋体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1 选题背景与问题定义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1.1 研究对象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现实预测通常同时面对历史数值序列与新闻、报告、政策或事件文本。文本可能解释数值突变，但也可能晚于预测时点、偏离主题或重复既有趋势。Time-MMD 提供多领域成对数据，为这一问题提供实验基础[1]。本项目将文本视为受信息可得性约束的外生变量，而不是默认有效的额外模态。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1.2 拟解决的具体问题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在文本结束时间早于预测起点的约束下，语义特征能否超过纯数值基线。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正确对齐文本能否优于随机置换文本，以排除模板结构、文本数量和时间趋势造成的伪增益。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频域统计与文本语义交互是否在较长预测跨度更有效。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当文本质量或稳定性不足时，能否用冻结规则自动回退到数值专家。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数值骨干在独立 ETT 数据与输入扰动下是否保持可复现性能。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1.3 输入 输出与边界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输入为长度 L 的历史数值窗口 X 和预测时点前可获得的事实集合 Z；输出为未来 H 步目标序列。数据中的 end_date 仅作为可得时间代理，不能等同于真实发布时间；包含未来预测内容的 preds 字段不进入模型。</w:t>
      </w:r>
    </w:p>
    <w:p>
      <w:pPr>
        <w:spacing w:before="100" w:after="100"/>
        <w:jc w:val="center"/>
      </w:pPr>
      <w:r>
        <w:rPr>
          <w:rFonts w:ascii="Times New Roman" w:hAnsi="Times New Roman" w:eastAsia="宋体" w:cs="Times New Roman"/>
          <w:sz w:val="22"/>
        </w:rPr>
        <w:t>x̃ₜ = (xₜ − μ_train) / σ_train    （1）</w:t>
      </w:r>
    </w:p>
    <w:p>
      <w:r>
        <w:rPr>
          <w:rFonts w:ascii="Times New Roman" w:hAnsi="Times New Roman" w:cs="Times New Roman" w:eastAsia="宋体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2 文献调研与方案取舍</w:t>
      </w:r>
    </w:p>
    <w:p>
      <w:pPr>
        <w:pStyle w:val="Caption"/>
        <w:spacing w:before="60" w:after="100"/>
        <w:jc w:val="center"/>
      </w:pPr>
      <w:r>
        <w:rPr>
          <w:rFonts w:ascii="Times New Roman" w:hAnsi="Times New Roman" w:cs="Times New Roman" w:eastAsia="宋体"/>
        </w:rPr>
        <w:t>表 1 相关研究 证据等级与本文取舍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1757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研究</w:t>
            </w:r>
          </w:p>
        </w:tc>
        <w:tc>
          <w:tcPr>
            <w:tcW w:type="dxa" w:w="181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身份</w:t>
            </w:r>
          </w:p>
        </w:tc>
        <w:tc>
          <w:tcPr>
            <w:tcW w:type="dxa" w:w="2438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主要启发</w:t>
            </w:r>
          </w:p>
        </w:tc>
        <w:tc>
          <w:tcPr>
            <w:tcW w:type="dxa" w:w="3402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本文使用边界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Time-MMD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NeurIPS 2024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多领域数值与文本对齐数据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提供数据基础；不照抄其结论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DLinear</w:t>
            </w:r>
          </w:p>
        </w:tc>
        <w:tc>
          <w:tcPr>
            <w:tcW w:type="dxa" w:w="181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AAAI 2023</w:t>
            </w:r>
          </w:p>
        </w:tc>
        <w:tc>
          <w:tcPr>
            <w:tcW w:type="dxa" w:w="243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分解线性预测与强简单基线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作为可解释深度基线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PatchTST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ICLR 2023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分块与通道独立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作为主要数值专家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TimesNet / FEDformer</w:t>
            </w:r>
          </w:p>
        </w:tc>
        <w:tc>
          <w:tcPr>
            <w:tcW w:type="dxa" w:w="181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ICLR 2023 / ICML 2022</w:t>
            </w:r>
          </w:p>
        </w:tc>
        <w:tc>
          <w:tcPr>
            <w:tcW w:type="dxa" w:w="243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多周期与频域建模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启发频率统计分支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TimeXer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NeurIPS 2024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外生变量建模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支持将文本视为外生信息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Time-LLM / TimeCMA</w:t>
            </w:r>
          </w:p>
        </w:tc>
        <w:tc>
          <w:tcPr>
            <w:tcW w:type="dxa" w:w="181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ICLR 2024 / AAAI 2025</w:t>
            </w:r>
          </w:p>
        </w:tc>
        <w:tc>
          <w:tcPr>
            <w:tcW w:type="dxa" w:w="243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语言模型重编程与跨模态对齐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说明融合方法空间；本文采用轻量实现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T3Time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AAAI 2026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时域 频域 提示三分支与跨度条件门控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借鉴多模态和跨度条件思想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Spectral Text Fusion</w:t>
            </w:r>
          </w:p>
        </w:tc>
        <w:tc>
          <w:tcPr>
            <w:tcW w:type="dxa" w:w="181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2026 预印本</w:t>
            </w:r>
          </w:p>
        </w:tc>
        <w:tc>
          <w:tcPr>
            <w:tcW w:type="dxa" w:w="243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频谱与文本交互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启发候选频率交互；须独立验证</w:t>
            </w:r>
          </w:p>
        </w:tc>
      </w:tr>
    </w:tbl>
    <w:p>
      <w:pPr>
        <w:spacing w:after="40"/>
      </w:pP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数值侧从 Last、季节朴素和 AR-Ridge 起步，再加入 DLinear 与 PatchTST[2-3]。频率分支受 TimesNet 与 FEDformer 的多周期和频域思想启发[4,6]，但只构造低维频率统计和交互，避免复制大型结构。文本侧使用冻结 MiniLM 句向量[10-11]，以受正则化残差模型检验是否存在增量信息。Time-LLM、AAAI 2025 的 TimeCMA 与 AAAI 2026 的 T3Time 提供语言重编程、跨模态对齐和三分支融合依据[9,12-13]；Spectral Text Fusion 仍为预印本[14]，仅作为频谱交互启发。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3 数据与任务设计</w:t>
      </w:r>
    </w:p>
    <w:p>
      <w:pPr>
        <w:pStyle w:val="Caption"/>
        <w:spacing w:before="60" w:after="100"/>
        <w:jc w:val="center"/>
      </w:pPr>
      <w:r>
        <w:rPr>
          <w:rFonts w:ascii="Times New Roman" w:hAnsi="Times New Roman" w:cs="Times New Roman" w:eastAsia="宋体"/>
        </w:rPr>
        <w:t>表 2 Time-MMD 六领域数据审计结果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47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907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行数</w:t>
            </w:r>
          </w:p>
        </w:tc>
        <w:tc>
          <w:tcPr>
            <w:tcW w:type="dxa" w:w="1020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数值列</w:t>
            </w:r>
          </w:p>
        </w:tc>
        <w:tc>
          <w:tcPr>
            <w:tcW w:type="dxa" w:w="1361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起始</w:t>
            </w:r>
          </w:p>
        </w:tc>
        <w:tc>
          <w:tcPr>
            <w:tcW w:type="dxa" w:w="1361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结束</w:t>
            </w:r>
          </w:p>
        </w:tc>
        <w:tc>
          <w:tcPr>
            <w:tcW w:type="dxa" w:w="1020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重排数</w:t>
            </w:r>
          </w:p>
        </w:tc>
        <w:tc>
          <w:tcPr>
            <w:tcW w:type="dxa" w:w="1020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OT缺失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Agriculture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532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3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1980-01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2024-04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Climate</w:t>
            </w:r>
          </w:p>
        </w:tc>
        <w:tc>
          <w:tcPr>
            <w:tcW w:type="dxa" w:w="90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1272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8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2000-01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2024-05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1272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Economy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447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3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1987-01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2024-03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447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Energy</w:t>
            </w:r>
          </w:p>
        </w:tc>
        <w:tc>
          <w:tcPr>
            <w:tcW w:type="dxa" w:w="90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1622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9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1993-04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2024-04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Security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309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1998-09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2024-05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Traffic</w:t>
            </w:r>
          </w:p>
        </w:tc>
        <w:tc>
          <w:tcPr>
            <w:tcW w:type="dxa" w:w="90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651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1970-01</w:t>
            </w:r>
          </w:p>
        </w:tc>
        <w:tc>
          <w:tcPr>
            <w:tcW w:type="dxa" w:w="136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2024-03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气候文件原为倒序，经济文件顺序混乱，建模前必须按解析后的时间稳定升序排序。六领域目标 OT 均无缺失；Security 仅有一个数值变量且样本最少，适合作为分布漂移和少样本压力测试。文本仅使用 fact，按同来源和规范化文本去重，最多保留每来源32条最近事实。</w:t>
      </w:r>
    </w:p>
    <w:p>
      <w:pPr>
        <w:pStyle w:val="Caption"/>
        <w:spacing w:before="60" w:after="100"/>
        <w:jc w:val="center"/>
      </w:pPr>
      <w:r>
        <w:rPr>
          <w:rFonts w:ascii="Times New Roman" w:hAnsi="Times New Roman" w:cs="Times New Roman" w:eastAsia="宋体"/>
        </w:rPr>
        <w:t>表 3 任务与评价口径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1928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1020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任务数</w:t>
            </w:r>
          </w:p>
        </w:tc>
        <w:tc>
          <w:tcPr>
            <w:tcW w:type="dxa" w:w="2721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划分</w:t>
            </w:r>
          </w:p>
        </w:tc>
        <w:tc>
          <w:tcPr>
            <w:tcW w:type="dxa" w:w="198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主要指标</w:t>
            </w:r>
          </w:p>
        </w:tc>
        <w:tc>
          <w:tcPr>
            <w:tcW w:type="dxa" w:w="215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Time-MMD 六领域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18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70%训练 10%验证 20%测试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标准化 MSE MAE RMSE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主实验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ETTh1 ETTh2</w:t>
            </w:r>
          </w:p>
        </w:tc>
        <w:tc>
          <w:tcPr>
            <w:tcW w:type="dxa" w:w="1020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6</w:t>
            </w:r>
          </w:p>
        </w:tc>
        <w:tc>
          <w:tcPr>
            <w:tcW w:type="dxa" w:w="2721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固定时间划分</w:t>
            </w:r>
          </w:p>
        </w:tc>
        <w:tc>
          <w:tcPr>
            <w:tcW w:type="dxa" w:w="198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标准化 MSE 与三种子均值</w:t>
            </w:r>
          </w:p>
        </w:tc>
        <w:tc>
          <w:tcPr>
            <w:tcW w:type="dxa" w:w="215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外部数值验证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输入扰动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24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高斯 缺失 尖峰 尾段缺失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相对退化率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稳健性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4 初步算法方案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4.1 数值专家池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候选专家包括 Last、SeasonalNaive、AR-Ridge、DLinear-M 和 PatchTST。简单模型提供可解释下限，深度模型固定2026、2027、2028三个随机种子。数值专家仅在验证期前半段比较，测试集不参与选择。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4.2 严格时点语义表征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对每个预测起点，仅索引历史窗口内且 end_date 早于预测起点的 fact。每条文本经冻结 all-MiniLM-L6-v2 编码；同来源向量按时间衰减加权平均并做 L2 归一化。历史窗口长度的四分之一作为半衰期。</w:t>
      </w:r>
    </w:p>
    <w:p>
      <w:pPr>
        <w:spacing w:before="100" w:after="100"/>
        <w:jc w:val="center"/>
      </w:pPr>
      <w:r>
        <w:rPr>
          <w:rFonts w:ascii="Times New Roman" w:hAnsi="Times New Roman" w:eastAsia="宋体" w:cs="Times New Roman"/>
          <w:sz w:val="22"/>
        </w:rPr>
        <w:t>m* = arg minₘ MSE_calibration(m)    （2）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4.3 残差候选与安全选择</w:t>
      </w: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语义候选以 Last 预测为锚点，使用 Ridge 学习由数值窗口、文本语义和质量特征共同解释的残差；频率候选再加入历史窗口频谱统计与语义交互。由于候选锚点与最终数值回退可能不同，候选相对回退的改善不能单独归因于文本，必须结合匹配容量纯数值残差对照和文本错位置换解释。验证期再对半：前半选择正则系数和数值专家，后半只作路径资格判定。候选必须同时满足后半总体优于回退、前后两段均获胜、99次文本置换检验经 Bonferroni 校正后 p≤0.025。</w:t>
      </w:r>
    </w:p>
    <w:p>
      <w:pPr>
        <w:spacing w:before="100" w:after="100"/>
        <w:jc w:val="center"/>
      </w:pPr>
      <w:r>
        <w:rPr>
          <w:rFonts w:ascii="Times New Roman" w:hAnsi="Times New Roman" w:eastAsia="宋体" w:cs="Times New Roman"/>
          <w:sz w:val="22"/>
        </w:rPr>
        <w:t>zₜ = Normalize(Σᵢwᵢeᵢ / Σᵢwᵢ)，wᵢ = exp(−ln2·ageᵢ / τ)    （3）</w:t>
      </w:r>
    </w:p>
    <w:p>
      <w:pPr>
        <w:spacing w:before="100" w:after="100"/>
        <w:jc w:val="center"/>
      </w:pPr>
      <w:r>
        <w:rPr>
          <w:rFonts w:ascii="Times New Roman" w:hAnsi="Times New Roman" w:eastAsia="宋体" w:cs="Times New Roman"/>
          <w:sz w:val="22"/>
        </w:rPr>
        <w:t>δ̂ = arg minδ {Σₜ‖Yₜ − Last(Xₜ) − Φ(Xₜ,Zₜ,qₜ)δ‖₂² + α‖δ‖₂²}    （4）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5 实验与验证计划</w:t>
      </w:r>
    </w:p>
    <w:p>
      <w:pPr>
        <w:pStyle w:val="Caption"/>
        <w:spacing w:before="60" w:after="100"/>
        <w:jc w:val="center"/>
      </w:pPr>
      <w:r>
        <w:rPr>
          <w:rFonts w:ascii="Times New Roman" w:hAnsi="Times New Roman" w:cs="Times New Roman" w:eastAsia="宋体"/>
        </w:rPr>
        <w:t>表 4 实验矩阵与成功标准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1757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232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对照</w:t>
            </w:r>
          </w:p>
        </w:tc>
        <w:tc>
          <w:tcPr>
            <w:tcW w:type="dxa" w:w="2494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3118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预先判据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数值基线</w:t>
            </w:r>
          </w:p>
        </w:tc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5类专家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时间顺序留出 三随机种子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报告全部模型 不只报告赢家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语义增量</w:t>
            </w:r>
          </w:p>
        </w:tc>
        <w:tc>
          <w:tcPr>
            <w:tcW w:type="dxa" w:w="232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语义候选 对 数值回退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独立路径决策段</w:t>
            </w:r>
          </w:p>
        </w:tc>
        <w:tc>
          <w:tcPr>
            <w:tcW w:type="dxa" w:w="311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总体和两分段均更优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文本反事实</w:t>
            </w:r>
          </w:p>
        </w:tc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对齐文本 对 错位文本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99次冻结置换 加循环移位敏感性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p≤0.025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测试不确定性</w:t>
            </w:r>
          </w:p>
        </w:tc>
        <w:tc>
          <w:tcPr>
            <w:tcW w:type="dxa" w:w="232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逐预测起点配对损失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5000次移动块Bootstrap</w:t>
            </w:r>
          </w:p>
        </w:tc>
        <w:tc>
          <w:tcPr>
            <w:tcW w:type="dxa" w:w="311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报告95%区间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消融</w:t>
            </w:r>
          </w:p>
        </w:tc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无频率 对 频率交互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同一划分同一回退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不以单任务胜利概括总体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稳健性</w:t>
            </w:r>
          </w:p>
        </w:tc>
        <w:tc>
          <w:tcPr>
            <w:tcW w:type="dxa" w:w="232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干净输入 对 四类扰动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三次重复</w:t>
            </w:r>
          </w:p>
        </w:tc>
        <w:tc>
          <w:tcPr>
            <w:tcW w:type="dxa" w:w="3118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报告均值和标准差</w:t>
            </w:r>
          </w:p>
        </w:tc>
      </w:tr>
    </w:tbl>
    <w:p>
      <w:pPr>
        <w:spacing w:after="40"/>
      </w:pP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由于滑动预测窗口相互重叠，普通独立同分布Bootstrap会低估不确定性，因此使用移动块Bootstrap保留局部依赖[15]。评价值均在训练期均值与标准差定义的标准化空间计算；不同领域的绝对 MSE 不直接横向比较。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6 进度安排 风险与交付</w:t>
      </w:r>
    </w:p>
    <w:p>
      <w:pPr>
        <w:pStyle w:val="Caption"/>
        <w:spacing w:before="60" w:after="100"/>
        <w:jc w:val="center"/>
      </w:pPr>
      <w:r>
        <w:rPr>
          <w:rFonts w:ascii="Times New Roman" w:hAnsi="Times New Roman" w:cs="Times New Roman" w:eastAsia="宋体"/>
        </w:rPr>
        <w:t>表 5 第4周以后实施计划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1417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4535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742"/>
            <w:vAlign w:val="center"/>
            <w:shd w:fill="234E7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16"/>
              </w:rPr>
              <w:t>验收证据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第4至6周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数据审计 时点索引 简单基线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审计表 自检日志 基线结果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第7至9周</w:t>
            </w:r>
          </w:p>
        </w:tc>
        <w:tc>
          <w:tcPr>
            <w:tcW w:type="dxa" w:w="4535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DLinear PatchTST 文本编码与开发实验</w:t>
            </w:r>
          </w:p>
        </w:tc>
        <w:tc>
          <w:tcPr>
            <w:tcW w:type="dxa" w:w="374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三种子模型 训练日志 开发图表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第10周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书面中期检查 冻结最终协议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中期报告 协议JSON 风险清单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第11至14周</w:t>
            </w:r>
          </w:p>
        </w:tc>
        <w:tc>
          <w:tcPr>
            <w:tcW w:type="dxa" w:w="4535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六领域确认实验 ETT外部验证 稳健性</w:t>
            </w:r>
          </w:p>
        </w:tc>
        <w:tc>
          <w:tcPr>
            <w:tcW w:type="dxa" w:w="3742"/>
            <w:vAlign w:val="center"/>
            <w:shd w:fill="EFF5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测试结果 区间估计 消融表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宋体"/>
                <w:sz w:val="16"/>
              </w:rPr>
              <w:t>第15至17周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报告 原型 支撑材料 审稿检查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16"/>
              </w:rPr>
              <w:t>DOCX PDF 代码 数据清单 校验报告</w:t>
            </w:r>
          </w:p>
        </w:tc>
      </w:tr>
    </w:tbl>
    <w:p>
      <w:pPr>
        <w:spacing w:after="40"/>
      </w:pPr>
    </w:p>
    <w:p>
      <w:pPr>
        <w:spacing w:line="348" w:lineRule="auto" w:after="100"/>
        <w:ind w:firstLine="420"/>
      </w:pPr>
      <w:r>
        <w:rPr>
          <w:rFonts w:ascii="Times New Roman" w:hAnsi="Times New Roman" w:cs="Times New Roman" w:eastAsia="宋体"/>
        </w:rPr>
        <w:t>主要风险包括文本真实发布时间缺失、搜索文本主题漂移、验证样本较少、不同领域尺度不一致和深度模型随机性。对应措施是把 end_date 明确表述为代理变量、保留文本置换与缺失指示、按领域标准化、固定三随机种子并报告限制。少样本任务另报告决策起点数、非重叠块数和近似最小可检测效应。若文本未通过门槛，否定结果仍作为完整结论，不临时放宽标准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cs="Times New Roman" w:eastAsia="黑体"/>
        </w:rPr>
        <w:t>最终交付文件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第4周选题与初步技术方案；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第10周书面中期进展报告；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最终课程设计报告 DOCX 与 PDF；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完整 Python 源代码、依赖与统一运行说明；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原始数据来源和固定提交信息、处理后审计表、实验明细与图表；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cs="Times New Roman" w:eastAsia="宋体"/>
        </w:rPr>
        <w:t>交互式结果原型、文件哈希与最终检查报告。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cs="Times New Roman" w:eastAsia="黑体"/>
        </w:rPr>
        <w:t>参考文献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[1] Liu H, Xu S, Zhao Z, et al. Time-MMD: Multi-Domain Multimodal Dataset for Time Series Analysis. Advances in Neural Information Processing Systems, Datasets and Benchmarks Track, 2024. DOI: 10.52202/079017-2476.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[2] Nie Y, Nguyen N H, Sinthong P, Kalagnanam J. A Time Series is Worth 64 Words: Long-term Forecasting with Transformers. International Conference on Learning Representations, 2023.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[3] Zeng A, Chen M, Zhang L, Xu Q. Are Transformers Effective for Time Series Forecasting? Proceedings of the AAAI Conference on Artificial Intelligence, 2023, 37(9):11121-11128. DOI: 10.1609/aaai.v37i9.26317.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[4] Wu H, Hu T, Liu Y, et al. TimesNet: Temporal 2D-Variation Modeling for General Time Series Analysis. International Conference on Learning Representations, 2023.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[5] Zhang Y, Yan J. Crossformer: Transformer Utilizing Cross-Dimension Dependency for Multivariate Time Series Forecasting. International Conference on Learning Representations, 2023.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[6] Zhou T, Ma Z, Wen Q, et al. FEDformer: Frequency Enhanced Decomposed Transformer for Long-term Series Forecasting. Proceedings of the 39th International Conference on Machine Learning, PMLR 162:27268-27286, 2022.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[7] Liu Y, Hu T, Zhang H, et al. iTransformer: Inverted Transformers Are Effective for Time Series Forecasting. International Conference on Learning Representations, 2024.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[8] Wang Y, Wu H, Dong J, et al. TimeXer: Empowering Transformers for Time Series Forecasting with Exogenous Variables. Advances in Neural Information Processing Systems, 2024. DOI: 10.52202/079017-0015.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[9] Jin M, Wang S, Ma L, et al. Time-LLM: Time Series Forecasting by Reprogramming Large Language Models. International Conference on Learning Representations, 2024.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[10] Reimers N, Gurevych I. Sentence-BERT: Sentence Embeddings using Siamese BERT-Networks. EMNLP-IJCNLP, 2019:3982-3992. DOI: 10.18653/v1/D19-1410.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[11] Wang W, Wei F, Dong L, et al. MiniLM: Deep Self-Attention Distillation for Task-Agnostic Compression of Pre-Trained Transformers. Advances in Neural Information Processing Systems, 2020.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[12] Liu C, Xu Q, Miao H, et al. TimeCMA: Towards LLM-Empowered Multivariate Time Series Forecasting via Cross-Modality Alignment. Proceedings of the AAAI Conference on Artificial Intelligence, 2025, 39(18):18780-18788. DOI: 10.1609/aaai.v39i18.34067.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[13] Chowdhury A M, Akter R, Arib S H. T3Time: Tri-Modal Time Series Forecasting via Adaptive Multi-Head Alignment and Residual Fusion. Proceedings of the AAAI Conference on Artificial Intelligence, 2026, 40(25):20597-20605. DOI: 10.1609/aaai.v40i25.39196.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[14] Spectral Text Fusion for Multimodal Time Series Forecasting. arXiv:2602.01588, 2026. 预印本.</w:t>
      </w:r>
    </w:p>
    <w:p>
      <w:pPr>
        <w:spacing w:line="288" w:lineRule="auto" w:after="80"/>
      </w:pPr>
      <w:r>
        <w:rPr>
          <w:rFonts w:ascii="Times New Roman" w:hAnsi="Times New Roman" w:cs="Times New Roman" w:eastAsia="宋体"/>
        </w:rPr>
        <w:t>[15] Künsch H R. The Jackknife and the Bootstrap for General Stationary Observations. The Annals of Statistics, 1989, 17(3):1217-1241. DOI: 10.1214/aos/1176347265.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020" w:left="138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</w:rPr>
      <w:t xml:space="preserve">第 </w:t>
    </w:r>
    <w:fldSimple w:instr="PAGE"/>
    <w:r>
      <w:rPr>
        <w:rFonts w:ascii="Times New Roman" w:hAnsi="Times New Roman" w:cs="Times New Roman" w:eastAsia="宋体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宋体"/>
        <w:color w:val="606060"/>
        <w:sz w:val="16"/>
      </w:rPr>
      <w:t>人工智能课程设计  第4周选题与初步技术方案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文本增强多领域时间序列预测 第4周课程设计选题与初步技术方案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