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after="360"/>
        <w:jc w:val="center"/>
      </w:pPr>
      <w:r>
        <w:t>文本何时有助于时间序列预测</w:t>
      </w:r>
    </w:p>
    <w:p>
      <w:pPr>
        <w:jc w:val="center"/>
      </w:pPr>
      <w:r>
        <w:rPr>
          <w:b/>
          <w:sz w:val="30"/>
        </w:rPr>
        <w:t>面向多领域的严格时点对齐 反事实检验与安全融合</w:t>
      </w:r>
    </w:p>
    <w:p>
      <w:pPr>
        <w:spacing w:before="280"/>
        <w:jc w:val="center"/>
      </w:pPr>
      <w:r>
        <w:rPr>
          <w:sz w:val="24"/>
        </w:rPr>
        <w:t>SafeFAME TS 人工智能课程设计报告</w:t>
      </w:r>
    </w:p>
    <w:p>
      <w:pPr>
        <w:spacing w:after="1800"/>
      </w:pPr>
    </w:p>
    <w:p>
      <w:pPr>
        <w:jc w:val="center"/>
      </w:pPr>
      <w:r>
        <w:rPr>
          <w:sz w:val="22"/>
        </w:rPr>
        <w:t>个人课程设计  2026年9月</w:t>
      </w:r>
    </w:p>
    <w:p>
      <w:r>
        <w:br w:type="page"/>
      </w:r>
    </w:p>
    <w:p>
      <w:pPr>
        <w:pStyle w:val="Heading1"/>
        <w:keepNext/>
      </w:pPr>
      <w:r>
        <w:t>摘要</w:t>
      </w:r>
    </w:p>
    <w:p>
      <w:pPr>
        <w:spacing w:line="348" w:lineRule="auto" w:after="100"/>
        <w:ind w:firstLine="480"/>
      </w:pPr>
      <w:r>
        <w:t>多模态时间序列研究通常假定外部文本能够补充数值序列，但文本的发布时间、来源覆盖和语义相关性会随领域与预测跨度变化。若直接拼接文本特征，模型可能利用未来信息，也可能在未见领域产生负迁移。本课程设计据此提出 SafeFAME-TS，将严格时点文本索引、冻结句向量、频率统计、反事实文本置换和验证期安全选择组合为完整实验系统。研究使用 Time-MMD 的六个领域，其中 Climate、Economy、Energy 和 Traffic 用于开发性回测，Agriculture 与 Security 在规则冻结后用于确认；另使用 ETTh1 和 ETTh2 的六项长预测任务检验数值骨干。</w:t>
      </w:r>
    </w:p>
    <w:p>
      <w:pPr>
        <w:spacing w:line="348" w:lineRule="auto" w:after="100"/>
        <w:ind w:firstLine="480"/>
      </w:pPr>
      <w:r>
        <w:t>实验共构建 14,281 条去重事实文本，并强制每条事实的结束日期早于预测起点。开发集 12 项任务中，正确对齐文本仅在 Traffic 的三个跨度上优于置换文本，且只在 H=6 和 H=12 超过最强数值基线，MSE 分别降低 7.28% 和 4.81%。冻结确认集的六项任务均未达到语义路径启用门槛，说明文本增益不能跨领域泛化；但是选择器拒绝了全部有害语义路径，平均避免 21.97% 的语义路径损失。ETT 外部基准中，PatchTST 在六项任务全部获胜，相对最强非 PatchTST 基线平均降低 12.69% MSE。输入扰动实验显示，PatchTST 对高斯噪声和 10% 随机缺失的平均退化分别为 3.31% 和 1.68%，对尖峰污染和末段连续缺失仍较敏感。</w:t>
      </w:r>
    </w:p>
    <w:p>
      <w:pPr>
        <w:spacing w:line="348" w:lineRule="auto" w:after="100"/>
        <w:ind w:firstLine="480"/>
      </w:pPr>
      <w:r>
        <w:t>结果表明，文本是否有用必须通过严格时点约束和反事实对照逐任务验证。SafeFAME-TS 的主要可靠收益是以预先规定的验证规则拒绝不稳定语义路径，而不是保证文本普遍提高预测精度。系统保留全部数据审计、随机种子、模型输出和图表生成记录，可从原始数据复算主要结论。</w:t>
      </w:r>
    </w:p>
    <w:p>
      <w:r>
        <w:rPr>
          <w:b/>
        </w:rPr>
        <w:t xml:space="preserve">关键词 </w:t>
      </w:r>
      <w:r>
        <w:t>多模态时间序列预测  时点对齐  反事实检验  安全融合  PatchTST  负迁移</w:t>
      </w:r>
    </w:p>
    <w:p>
      <w:r>
        <w:br w:type="page"/>
      </w:r>
    </w:p>
    <w:p>
      <w:pPr>
        <w:pStyle w:val="Heading1"/>
        <w:keepNext/>
      </w:pPr>
      <w:r>
        <w:t>目录</w:t>
      </w:r>
    </w:p>
    <w:p>
      <w:pPr>
        <w:spacing w:after="80"/>
      </w:pPr>
      <w:r>
        <w:t>1 研究问题与设计目标</w:t>
      </w:r>
    </w:p>
    <w:p>
      <w:pPr>
        <w:spacing w:after="80"/>
      </w:pPr>
      <w:r>
        <w:t>2 相关研究与方案取舍</w:t>
      </w:r>
    </w:p>
    <w:p>
      <w:pPr>
        <w:spacing w:after="80"/>
      </w:pPr>
      <w:r>
        <w:t>3 数据审计与实验协议</w:t>
      </w:r>
    </w:p>
    <w:p>
      <w:pPr>
        <w:spacing w:after="80"/>
      </w:pPr>
      <w:r>
        <w:t>4 SafeFAME TS 方法</w:t>
      </w:r>
    </w:p>
    <w:p>
      <w:pPr>
        <w:spacing w:after="80"/>
      </w:pPr>
      <w:r>
        <w:t>5 实验设置与实现</w:t>
      </w:r>
    </w:p>
    <w:p>
      <w:pPr>
        <w:spacing w:after="80"/>
      </w:pPr>
      <w:r>
        <w:t>6 开发性回测结果</w:t>
      </w:r>
    </w:p>
    <w:p>
      <w:pPr>
        <w:spacing w:after="80"/>
      </w:pPr>
      <w:r>
        <w:t>7 冻结确认与外部基准</w:t>
      </w:r>
    </w:p>
    <w:p>
      <w:pPr>
        <w:spacing w:after="80"/>
      </w:pPr>
      <w:r>
        <w:t>8 稳健性与误差分析</w:t>
      </w:r>
    </w:p>
    <w:p>
      <w:pPr>
        <w:spacing w:after="80"/>
      </w:pPr>
      <w:r>
        <w:t>9 系统实现与可复现性</w:t>
      </w:r>
    </w:p>
    <w:p>
      <w:pPr>
        <w:spacing w:after="80"/>
      </w:pPr>
      <w:r>
        <w:t>10 结论与局限</w:t>
      </w:r>
    </w:p>
    <w:p>
      <w:pPr>
        <w:spacing w:after="80"/>
      </w:pPr>
      <w:r>
        <w:t>参考文献</w:t>
      </w:r>
    </w:p>
    <w:p>
      <w:pPr>
        <w:spacing w:after="80"/>
      </w:pPr>
      <w:r>
        <w:t>附录</w:t>
      </w:r>
    </w:p>
    <w:p>
      <w:r>
        <w:br w:type="page"/>
      </w:r>
    </w:p>
    <w:p>
      <w:pPr>
        <w:pStyle w:val="Heading1"/>
        <w:keepNext/>
      </w:pPr>
      <w:r>
        <w:t>1 研究问题与设计目标</w:t>
      </w:r>
    </w:p>
    <w:p>
      <w:pPr>
        <w:pStyle w:val="Heading2"/>
        <w:keepNext/>
      </w:pPr>
      <w:r>
        <w:t>1.1 问题背景</w:t>
      </w:r>
    </w:p>
    <w:p>
      <w:pPr>
        <w:spacing w:line="348" w:lineRule="auto" w:after="100"/>
        <w:ind w:firstLine="480"/>
      </w:pPr>
      <w:r>
        <w:t>现实预测者往往同时观察数值指标和事件、政策、报告等文本。文本可能解释突变或提供领先信号，但其价值取决于是否在预测时点已经公开、是否与当前序列有关、是否覆盖相同制度阶段。Time-MMD 提供了多领域数值序列与报告、搜索事实，为检验这些条件提供了基础。课程设计不把文本维度增加本身视为创新，而把可证伪的时点约束、对齐反事实和安全回退作为研究主线。</w:t>
      </w:r>
    </w:p>
    <w:p>
      <w:pPr>
        <w:pStyle w:val="Heading2"/>
        <w:keepNext/>
      </w:pPr>
      <w:r>
        <w:t>1.2 研究问题</w:t>
      </w:r>
    </w:p>
    <w:p>
      <w:pPr>
        <w:pStyle w:val="ListBullet"/>
        <w:spacing w:line="324" w:lineRule="auto" w:after="60"/>
      </w:pPr>
      <w:r>
        <w:t>问题一  在只使用预测时点之前事实的条件下，文本语义能否稳定超过纯数值基线。</w:t>
      </w:r>
    </w:p>
    <w:p>
      <w:pPr>
        <w:pStyle w:val="ListBullet"/>
        <w:spacing w:line="324" w:lineRule="auto" w:after="60"/>
      </w:pPr>
      <w:r>
        <w:t>问题二  正确时点对齐文本是否优于随机置换文本，从而排除模板结构和时间趋势伪相关。</w:t>
      </w:r>
    </w:p>
    <w:p>
      <w:pPr>
        <w:pStyle w:val="ListBullet"/>
        <w:spacing w:line="324" w:lineRule="auto" w:after="60"/>
      </w:pPr>
      <w:r>
        <w:t>问题三  频率结构与文本语义交互能否改善不同预测跨度，并在证据不足时自动回退。</w:t>
      </w:r>
    </w:p>
    <w:p>
      <w:pPr>
        <w:pStyle w:val="ListBullet"/>
        <w:spacing w:line="324" w:lineRule="auto" w:after="60"/>
      </w:pPr>
      <w:r>
        <w:t>问题四  数值骨干在独立 ETT 基准和输入扰动下是否具有可复现的预测能力。</w:t>
      </w:r>
    </w:p>
    <w:p>
      <w:pPr>
        <w:pStyle w:val="Heading2"/>
        <w:keepNext/>
      </w:pPr>
      <w:r>
        <w:t>1.3 数学任务</w:t>
      </w:r>
    </w:p>
    <w:p>
      <w:pPr>
        <w:spacing w:line="348" w:lineRule="auto" w:after="100"/>
        <w:ind w:firstLine="480"/>
      </w:pPr>
      <w:r>
        <w:t>给定截至时点 t 的长度 L 多变量数值窗口和预测起点前可获得的文本集合，模型输出未来 H 步目标序列。文本集合的截止条件属于信息约束，而非普通特征筛选。</w:t>
      </w:r>
    </w:p>
    <w:p>
      <w:pPr>
        <w:spacing w:before="80" w:after="40"/>
        <w:jc w:val="center"/>
      </w:pPr>
      <w:r>
        <w:drawing>
          <wp:inline xmlns:a="http://schemas.openxmlformats.org/drawingml/2006/main" xmlns:pic="http://schemas.openxmlformats.org/drawingml/2006/picture">
            <wp:extent cx="4754880" cy="534875"/>
            <wp:docPr id="1" name="Picture 1" descr="数学公式 1"/>
            <wp:cNvGraphicFramePr>
              <a:graphicFrameLocks noChangeAspect="1"/>
            </wp:cNvGraphicFramePr>
            <a:graphic>
              <a:graphicData uri="http://schemas.openxmlformats.org/drawingml/2006/picture">
                <pic:pic>
                  <pic:nvPicPr>
                    <pic:cNvPr id="0" name="eq01_task.png"/>
                    <pic:cNvPicPr/>
                  </pic:nvPicPr>
                  <pic:blipFill>
                    <a:blip r:embed="rId11"/>
                    <a:stretch>
                      <a:fillRect/>
                    </a:stretch>
                  </pic:blipFill>
                  <pic:spPr>
                    <a:xfrm>
                      <a:off x="0" y="0"/>
                      <a:ext cx="4754880" cy="534875"/>
                    </a:xfrm>
                    <a:prstGeom prst="rect"/>
                  </pic:spPr>
                </pic:pic>
              </a:graphicData>
            </a:graphic>
          </wp:inline>
        </w:drawing>
      </w:r>
    </w:p>
    <w:p>
      <w:pPr>
        <w:spacing w:after="120"/>
        <w:jc w:val="right"/>
      </w:pPr>
      <w:r>
        <w:t>式 1</w:t>
      </w:r>
    </w:p>
    <w:p>
      <w:pPr>
        <w:spacing w:line="348" w:lineRule="auto" w:after="100"/>
        <w:ind w:firstLine="480"/>
      </w:pPr>
      <w:r>
        <w:t>式 1 中，X 为数值窗口，Z 为严格早于预测起点的文本信息，H 为预测跨度，θ 为由训练数据估计的参数。训练、验证和测试均按时间顺序划分，任何测试期目标和未来文本都不进入特征构造。</w:t>
      </w:r>
    </w:p>
    <w:p>
      <w:pPr>
        <w:keepNext/>
        <w:jc w:val="center"/>
      </w:pPr>
      <w:r>
        <w:drawing>
          <wp:inline xmlns:a="http://schemas.openxmlformats.org/drawingml/2006/main" xmlns:pic="http://schemas.openxmlformats.org/drawingml/2006/picture">
            <wp:extent cx="6035040" cy="2482943"/>
            <wp:docPr id="2" name="Picture 2" descr="图 1 SafeFAME TS 技术路线"/>
            <wp:cNvGraphicFramePr>
              <a:graphicFrameLocks noChangeAspect="1"/>
            </wp:cNvGraphicFramePr>
            <a:graphic>
              <a:graphicData uri="http://schemas.openxmlformats.org/drawingml/2006/picture">
                <pic:pic>
                  <pic:nvPicPr>
                    <pic:cNvPr id="0" name="fig01_technical_route.png"/>
                    <pic:cNvPicPr/>
                  </pic:nvPicPr>
                  <pic:blipFill>
                    <a:blip r:embed="rId12"/>
                    <a:stretch>
                      <a:fillRect/>
                    </a:stretch>
                  </pic:blipFill>
                  <pic:spPr>
                    <a:xfrm>
                      <a:off x="0" y="0"/>
                      <a:ext cx="6035040" cy="2482943"/>
                    </a:xfrm>
                    <a:prstGeom prst="rect"/>
                  </pic:spPr>
                </pic:pic>
              </a:graphicData>
            </a:graphic>
          </wp:inline>
        </w:drawing>
      </w:r>
    </w:p>
    <w:p>
      <w:pPr>
        <w:pStyle w:val="Caption"/>
        <w:keepNext w:val="0"/>
        <w:jc w:val="center"/>
      </w:pPr>
      <w:r>
        <w:t>图 1 SafeFAME TS 技术路线</w:t>
      </w:r>
    </w:p>
    <w:p>
      <w:pPr>
        <w:pStyle w:val="Heading1"/>
        <w:keepNext/>
      </w:pPr>
      <w:r>
        <w:t>2 相关研究与方案取舍</w:t>
      </w:r>
    </w:p>
    <w:p>
      <w:pPr>
        <w:pStyle w:val="Heading2"/>
        <w:keepNext/>
      </w:pPr>
      <w:r>
        <w:t>2.1 数值预测基线</w:t>
      </w:r>
    </w:p>
    <w:p>
      <w:pPr>
        <w:spacing w:line="348" w:lineRule="auto" w:after="100"/>
        <w:ind w:firstLine="480"/>
      </w:pPr>
      <w:r>
        <w:t>Last 和季节朴素模型提供最小可解释基线；AR-Ridge 检验线性自回归关系；DLinear 代表分解后的线性深度模型；PatchTST 将连续子序列分块为 token，并共享通道编码器参数。本文始终先比较简单模型，再判断复杂结构是否值得。ETT 实验的单目标协议与原论文常见的全通道平均协议不同，结果不能直接横向拼表。</w:t>
      </w:r>
    </w:p>
    <w:p>
      <w:pPr>
        <w:pStyle w:val="Heading2"/>
        <w:keepNext/>
      </w:pPr>
      <w:r>
        <w:t>2.2 文本与时间序列融合</w:t>
      </w:r>
    </w:p>
    <w:p>
      <w:pPr>
        <w:spacing w:line="348" w:lineRule="auto" w:after="100"/>
        <w:ind w:firstLine="480"/>
      </w:pPr>
      <w:r>
        <w:t>Time-MMD 强调外生文本与数值序列的细粒度对齐。TimeCMA、T3Time、Spectral Text Fusion 等工作分别启发了跨模态对齐、预测跨度条件化和频域交互。但课程设计不训练大型语言模型，也不照搬多分支大模型；文本编码器保持冻结，融合头使用受正则化的线性结构，以便在中等算力下完成完整对照。</w:t>
      </w:r>
    </w:p>
    <w:p>
      <w:pPr>
        <w:pStyle w:val="Heading2"/>
        <w:keepNext/>
      </w:pPr>
      <w:r>
        <w:t>2.3 本文取舍</w:t>
      </w:r>
    </w:p>
    <w:p>
      <w:pPr>
        <w:spacing w:line="348" w:lineRule="auto" w:after="100"/>
        <w:ind w:firstLine="480"/>
      </w:pPr>
      <w:r>
        <w:t>主方案保留三点：第一，文本必须通过发布日期约束；第二，文本价值必须超过置换对照；第三，语义路径必须在验证期总体和前后两半同时胜出。被舍弃的探索性神经门控原型出现 0.5 至 0.7 的高门控比例，却在多个领域产生负迁移，因此不进入最终算法。该否定结果说明，复杂门控并不天然等于可靠选择。</w:t>
      </w:r>
    </w:p>
    <w:p>
      <w:pPr>
        <w:pStyle w:val="Heading1"/>
        <w:keepNext/>
      </w:pPr>
      <w:r>
        <w:t>3 数据审计与实验协议</w:t>
      </w:r>
    </w:p>
    <w:p>
      <w:pPr>
        <w:pStyle w:val="Heading2"/>
        <w:keepNext/>
      </w:pPr>
      <w:r>
        <w:t>3.1 数据范围</w:t>
      </w:r>
    </w:p>
    <w:p>
      <w:pPr>
        <w:pStyle w:val="Caption"/>
        <w:keepNext w:val="0"/>
        <w:jc w:val="center"/>
      </w:pPr>
      <w:r>
        <w:t>表 1 数据集与任务划分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9"/>
        <w:gridCol w:w="1999"/>
        <w:gridCol w:w="1999"/>
        <w:gridCol w:w="1999"/>
        <w:gridCol w:w="1999"/>
      </w:tblGrid>
      <w:tr>
        <w:trPr>
          <w:tblHeader w:val="true"/>
        </w:trPr>
        <w:tc>
          <w:tcPr>
            <w:tcW w:type="dxa" w:w="1512"/>
            <w:shd w:fill="234E70"/>
            <w:vAlign w:val="center"/>
            <w:tcMar>
              <w:top w:w="90" w:type="dxa"/>
              <w:start w:w="100" w:type="dxa"/>
              <w:bottom w:w="90" w:type="dxa"/>
              <w:end w:w="100" w:type="dxa"/>
            </w:tcMar>
          </w:tcPr>
          <w:p>
            <w:pPr>
              <w:jc w:val="center"/>
            </w:pPr>
            <w:r>
              <w:rPr>
                <w:b/>
                <w:color w:val="FFFFFF"/>
                <w:sz w:val="16"/>
              </w:rPr>
              <w:t>数据组</w:t>
            </w:r>
          </w:p>
        </w:tc>
        <w:tc>
          <w:tcPr>
            <w:tcW w:type="dxa" w:w="2592"/>
            <w:shd w:fill="234E70"/>
            <w:vAlign w:val="center"/>
            <w:tcMar>
              <w:top w:w="90" w:type="dxa"/>
              <w:start w:w="100" w:type="dxa"/>
              <w:bottom w:w="90" w:type="dxa"/>
              <w:end w:w="100" w:type="dxa"/>
            </w:tcMar>
          </w:tcPr>
          <w:p>
            <w:pPr>
              <w:jc w:val="center"/>
            </w:pPr>
            <w:r>
              <w:rPr>
                <w:b/>
                <w:color w:val="FFFFFF"/>
                <w:sz w:val="16"/>
              </w:rPr>
              <w:t>领域或数据集</w:t>
            </w:r>
          </w:p>
        </w:tc>
        <w:tc>
          <w:tcPr>
            <w:tcW w:type="dxa" w:w="936"/>
            <w:shd w:fill="234E70"/>
            <w:vAlign w:val="center"/>
            <w:tcMar>
              <w:top w:w="90" w:type="dxa"/>
              <w:start w:w="100" w:type="dxa"/>
              <w:bottom w:w="90" w:type="dxa"/>
              <w:end w:w="100" w:type="dxa"/>
            </w:tcMar>
          </w:tcPr>
          <w:p>
            <w:pPr>
              <w:jc w:val="center"/>
            </w:pPr>
            <w:r>
              <w:rPr>
                <w:b/>
                <w:color w:val="FFFFFF"/>
                <w:sz w:val="16"/>
              </w:rPr>
              <w:t>任务数</w:t>
            </w:r>
          </w:p>
        </w:tc>
        <w:tc>
          <w:tcPr>
            <w:tcW w:type="dxa" w:w="2376"/>
            <w:shd w:fill="234E70"/>
            <w:vAlign w:val="center"/>
            <w:tcMar>
              <w:top w:w="90" w:type="dxa"/>
              <w:start w:w="100" w:type="dxa"/>
              <w:bottom w:w="90" w:type="dxa"/>
              <w:end w:w="100" w:type="dxa"/>
            </w:tcMar>
          </w:tcPr>
          <w:p>
            <w:pPr>
              <w:jc w:val="center"/>
            </w:pPr>
            <w:r>
              <w:rPr>
                <w:b/>
                <w:color w:val="FFFFFF"/>
                <w:sz w:val="16"/>
              </w:rPr>
              <w:t>输入输出</w:t>
            </w:r>
          </w:p>
        </w:tc>
        <w:tc>
          <w:tcPr>
            <w:tcW w:type="dxa" w:w="2088"/>
            <w:shd w:fill="234E70"/>
            <w:vAlign w:val="center"/>
            <w:tcMar>
              <w:top w:w="90" w:type="dxa"/>
              <w:start w:w="100" w:type="dxa"/>
              <w:bottom w:w="90" w:type="dxa"/>
              <w:end w:w="100" w:type="dxa"/>
            </w:tcMar>
          </w:tcPr>
          <w:p>
            <w:pPr>
              <w:jc w:val="center"/>
            </w:pPr>
            <w:r>
              <w:rPr>
                <w:b/>
                <w:color w:val="FFFFFF"/>
                <w:sz w:val="16"/>
              </w:rPr>
              <w:t>用途</w:t>
            </w:r>
          </w:p>
        </w:tc>
      </w:tr>
      <w:tr>
        <w:tc>
          <w:tcPr>
            <w:tcW w:type="dxa" w:w="1512"/>
            <w:vAlign w:val="center"/>
            <w:tcMar>
              <w:top w:w="90" w:type="dxa"/>
              <w:start w:w="100" w:type="dxa"/>
              <w:bottom w:w="90" w:type="dxa"/>
              <w:end w:w="100" w:type="dxa"/>
            </w:tcMar>
          </w:tcPr>
          <w:p>
            <w:pPr>
              <w:jc w:val="center"/>
            </w:pPr>
            <w:r>
              <w:rPr>
                <w:sz w:val="16"/>
              </w:rPr>
              <w:t>Time-MMD 开发</w:t>
            </w:r>
          </w:p>
        </w:tc>
        <w:tc>
          <w:tcPr>
            <w:tcW w:type="dxa" w:w="2592"/>
            <w:vAlign w:val="center"/>
            <w:tcMar>
              <w:top w:w="90" w:type="dxa"/>
              <w:start w:w="100" w:type="dxa"/>
              <w:bottom w:w="90" w:type="dxa"/>
              <w:end w:w="100" w:type="dxa"/>
            </w:tcMar>
          </w:tcPr>
          <w:p>
            <w:pPr>
              <w:jc w:val="left"/>
            </w:pPr>
            <w:r>
              <w:rPr>
                <w:sz w:val="16"/>
              </w:rPr>
              <w:t>Climate Economy Energy Traffic</w:t>
            </w:r>
          </w:p>
        </w:tc>
        <w:tc>
          <w:tcPr>
            <w:tcW w:type="dxa" w:w="936"/>
            <w:vAlign w:val="center"/>
            <w:tcMar>
              <w:top w:w="90" w:type="dxa"/>
              <w:start w:w="100" w:type="dxa"/>
              <w:bottom w:w="90" w:type="dxa"/>
              <w:end w:w="100" w:type="dxa"/>
            </w:tcMar>
          </w:tcPr>
          <w:p>
            <w:pPr>
              <w:jc w:val="center"/>
            </w:pPr>
            <w:r>
              <w:rPr>
                <w:sz w:val="16"/>
              </w:rPr>
              <w:t>12</w:t>
            </w:r>
          </w:p>
        </w:tc>
        <w:tc>
          <w:tcPr>
            <w:tcW w:type="dxa" w:w="2376"/>
            <w:vAlign w:val="center"/>
            <w:tcMar>
              <w:top w:w="90" w:type="dxa"/>
              <w:start w:w="100" w:type="dxa"/>
              <w:bottom w:w="90" w:type="dxa"/>
              <w:end w:w="100" w:type="dxa"/>
            </w:tcMar>
          </w:tcPr>
          <w:p>
            <w:pPr>
              <w:jc w:val="center"/>
            </w:pPr>
            <w:r>
              <w:rPr>
                <w:sz w:val="16"/>
              </w:rPr>
              <w:t>数值加 fact 文本</w:t>
            </w:r>
          </w:p>
        </w:tc>
        <w:tc>
          <w:tcPr>
            <w:tcW w:type="dxa" w:w="2088"/>
            <w:vAlign w:val="center"/>
            <w:tcMar>
              <w:top w:w="90" w:type="dxa"/>
              <w:start w:w="100" w:type="dxa"/>
              <w:bottom w:w="90" w:type="dxa"/>
              <w:end w:w="100" w:type="dxa"/>
            </w:tcMar>
          </w:tcPr>
          <w:p>
            <w:pPr>
              <w:jc w:val="center"/>
            </w:pPr>
            <w:r>
              <w:rPr>
                <w:sz w:val="16"/>
              </w:rPr>
              <w:t>规则开发</w:t>
            </w:r>
          </w:p>
        </w:tc>
      </w:tr>
      <w:tr>
        <w:tc>
          <w:tcPr>
            <w:tcW w:type="dxa" w:w="1512"/>
            <w:shd w:fill="EFF5F8"/>
            <w:vAlign w:val="center"/>
            <w:tcMar>
              <w:top w:w="90" w:type="dxa"/>
              <w:start w:w="100" w:type="dxa"/>
              <w:bottom w:w="90" w:type="dxa"/>
              <w:end w:w="100" w:type="dxa"/>
            </w:tcMar>
          </w:tcPr>
          <w:p>
            <w:pPr>
              <w:jc w:val="center"/>
            </w:pPr>
            <w:r>
              <w:rPr>
                <w:sz w:val="16"/>
              </w:rPr>
              <w:t>Time-MMD 确认</w:t>
            </w:r>
          </w:p>
        </w:tc>
        <w:tc>
          <w:tcPr>
            <w:tcW w:type="dxa" w:w="2592"/>
            <w:shd w:fill="EFF5F8"/>
            <w:vAlign w:val="center"/>
            <w:tcMar>
              <w:top w:w="90" w:type="dxa"/>
              <w:start w:w="100" w:type="dxa"/>
              <w:bottom w:w="90" w:type="dxa"/>
              <w:end w:w="100" w:type="dxa"/>
            </w:tcMar>
          </w:tcPr>
          <w:p>
            <w:pPr>
              <w:jc w:val="left"/>
            </w:pPr>
            <w:r>
              <w:rPr>
                <w:sz w:val="16"/>
              </w:rPr>
              <w:t>Agriculture Security</w:t>
            </w:r>
          </w:p>
        </w:tc>
        <w:tc>
          <w:tcPr>
            <w:tcW w:type="dxa" w:w="936"/>
            <w:shd w:fill="EFF5F8"/>
            <w:vAlign w:val="center"/>
            <w:tcMar>
              <w:top w:w="90" w:type="dxa"/>
              <w:start w:w="100" w:type="dxa"/>
              <w:bottom w:w="90" w:type="dxa"/>
              <w:end w:w="100" w:type="dxa"/>
            </w:tcMar>
          </w:tcPr>
          <w:p>
            <w:pPr>
              <w:jc w:val="center"/>
            </w:pPr>
            <w:r>
              <w:rPr>
                <w:sz w:val="16"/>
              </w:rPr>
              <w:t>6</w:t>
            </w:r>
          </w:p>
        </w:tc>
        <w:tc>
          <w:tcPr>
            <w:tcW w:type="dxa" w:w="2376"/>
            <w:shd w:fill="EFF5F8"/>
            <w:vAlign w:val="center"/>
            <w:tcMar>
              <w:top w:w="90" w:type="dxa"/>
              <w:start w:w="100" w:type="dxa"/>
              <w:bottom w:w="90" w:type="dxa"/>
              <w:end w:w="100" w:type="dxa"/>
            </w:tcMar>
          </w:tcPr>
          <w:p>
            <w:pPr>
              <w:jc w:val="center"/>
            </w:pPr>
            <w:r>
              <w:rPr>
                <w:sz w:val="16"/>
              </w:rPr>
              <w:t>数值加 fact 文本</w:t>
            </w:r>
          </w:p>
        </w:tc>
        <w:tc>
          <w:tcPr>
            <w:tcW w:type="dxa" w:w="2088"/>
            <w:shd w:fill="EFF5F8"/>
            <w:vAlign w:val="center"/>
            <w:tcMar>
              <w:top w:w="90" w:type="dxa"/>
              <w:start w:w="100" w:type="dxa"/>
              <w:bottom w:w="90" w:type="dxa"/>
              <w:end w:w="100" w:type="dxa"/>
            </w:tcMar>
          </w:tcPr>
          <w:p>
            <w:pPr>
              <w:jc w:val="center"/>
            </w:pPr>
            <w:r>
              <w:rPr>
                <w:sz w:val="16"/>
              </w:rPr>
              <w:t>冻结后一次确认</w:t>
            </w:r>
          </w:p>
        </w:tc>
      </w:tr>
      <w:tr>
        <w:tc>
          <w:tcPr>
            <w:tcW w:type="dxa" w:w="1512"/>
            <w:vAlign w:val="center"/>
            <w:tcMar>
              <w:top w:w="90" w:type="dxa"/>
              <w:start w:w="100" w:type="dxa"/>
              <w:bottom w:w="90" w:type="dxa"/>
              <w:end w:w="100" w:type="dxa"/>
            </w:tcMar>
          </w:tcPr>
          <w:p>
            <w:pPr>
              <w:jc w:val="center"/>
            </w:pPr>
            <w:r>
              <w:rPr>
                <w:sz w:val="16"/>
              </w:rPr>
              <w:t>ETT 外部</w:t>
            </w:r>
          </w:p>
        </w:tc>
        <w:tc>
          <w:tcPr>
            <w:tcW w:type="dxa" w:w="2592"/>
            <w:vAlign w:val="center"/>
            <w:tcMar>
              <w:top w:w="90" w:type="dxa"/>
              <w:start w:w="100" w:type="dxa"/>
              <w:bottom w:w="90" w:type="dxa"/>
              <w:end w:w="100" w:type="dxa"/>
            </w:tcMar>
          </w:tcPr>
          <w:p>
            <w:pPr>
              <w:jc w:val="center"/>
            </w:pPr>
            <w:r>
              <w:rPr>
                <w:sz w:val="16"/>
              </w:rPr>
              <w:t>ETTh1 ETTh2</w:t>
            </w:r>
          </w:p>
        </w:tc>
        <w:tc>
          <w:tcPr>
            <w:tcW w:type="dxa" w:w="936"/>
            <w:vAlign w:val="center"/>
            <w:tcMar>
              <w:top w:w="90" w:type="dxa"/>
              <w:start w:w="100" w:type="dxa"/>
              <w:bottom w:w="90" w:type="dxa"/>
              <w:end w:w="100" w:type="dxa"/>
            </w:tcMar>
          </w:tcPr>
          <w:p>
            <w:pPr>
              <w:jc w:val="center"/>
            </w:pPr>
            <w:r>
              <w:rPr>
                <w:sz w:val="16"/>
              </w:rPr>
              <w:t>6</w:t>
            </w:r>
          </w:p>
        </w:tc>
        <w:tc>
          <w:tcPr>
            <w:tcW w:type="dxa" w:w="2376"/>
            <w:vAlign w:val="center"/>
            <w:tcMar>
              <w:top w:w="90" w:type="dxa"/>
              <w:start w:w="100" w:type="dxa"/>
              <w:bottom w:w="90" w:type="dxa"/>
              <w:end w:w="100" w:type="dxa"/>
            </w:tcMar>
          </w:tcPr>
          <w:p>
            <w:pPr>
              <w:jc w:val="left"/>
            </w:pPr>
            <w:r>
              <w:rPr>
                <w:sz w:val="16"/>
              </w:rPr>
              <w:t>多变量数值输入 单 OT 输出</w:t>
            </w:r>
          </w:p>
        </w:tc>
        <w:tc>
          <w:tcPr>
            <w:tcW w:type="dxa" w:w="2088"/>
            <w:vAlign w:val="center"/>
            <w:tcMar>
              <w:top w:w="90" w:type="dxa"/>
              <w:start w:w="100" w:type="dxa"/>
              <w:bottom w:w="90" w:type="dxa"/>
              <w:end w:w="100" w:type="dxa"/>
            </w:tcMar>
          </w:tcPr>
          <w:p>
            <w:pPr>
              <w:jc w:val="center"/>
            </w:pPr>
            <w:r>
              <w:rPr>
                <w:sz w:val="16"/>
              </w:rPr>
              <w:t>数值骨干外部检验</w:t>
            </w:r>
          </w:p>
        </w:tc>
      </w:tr>
    </w:tbl>
    <w:p>
      <w:pPr>
        <w:spacing w:after="40"/>
      </w:pPr>
    </w:p>
    <w:p>
      <w:pPr>
        <w:spacing w:line="348" w:lineRule="auto" w:after="100"/>
        <w:ind w:firstLine="480"/>
      </w:pPr>
      <w:r>
        <w:t>Time-MMD 的 Climate 原文件按时间降序排列，Economy 原文件未完全排序。统一加载函数先解析日期，再执行稳定升序排序，并检查重复时间戳；这一修正发生在正式实验前，早期无效输出未进入最终表格。ETT 使用官方 CSV 前 14,400 个小时，确保与预先定义的训练、验证和测试边界一致。</w:t>
      </w:r>
    </w:p>
    <w:p>
      <w:pPr>
        <w:pStyle w:val="Heading2"/>
        <w:keepNext/>
      </w:pPr>
      <w:r>
        <w:t>3.2 严格时点文本</w:t>
      </w:r>
    </w:p>
    <w:p>
      <w:pPr>
        <w:spacing w:line="348" w:lineRule="auto" w:after="100"/>
        <w:ind w:firstLine="480"/>
      </w:pPr>
      <w:r>
        <w:t>文本索引只保留 fact 字段，排除 preds 和 pred 等可能直接包含未来判断的字段。对每个预测起点，每个来源最多选取最近 32 条事实，且事实结束日期必须严格早于预测起点。去重后语料含 14,281 条事实，以固定版本的 all-MiniLM-L6-v2 编码为 384 维向量。编码器修订号和索引文件均记录在元数据中。</w:t>
      </w:r>
    </w:p>
    <w:p>
      <w:pPr>
        <w:spacing w:before="80" w:after="40"/>
        <w:jc w:val="center"/>
      </w:pPr>
      <w:r>
        <w:drawing>
          <wp:inline xmlns:a="http://schemas.openxmlformats.org/drawingml/2006/main" xmlns:pic="http://schemas.openxmlformats.org/drawingml/2006/picture">
            <wp:extent cx="5120640" cy="2146675"/>
            <wp:docPr id="3" name="Picture 3" descr="数学公式 2"/>
            <wp:cNvGraphicFramePr>
              <a:graphicFrameLocks noChangeAspect="1"/>
            </wp:cNvGraphicFramePr>
            <a:graphic>
              <a:graphicData uri="http://schemas.openxmlformats.org/drawingml/2006/picture">
                <pic:pic>
                  <pic:nvPicPr>
                    <pic:cNvPr id="0" name="eq02_text.png"/>
                    <pic:cNvPicPr/>
                  </pic:nvPicPr>
                  <pic:blipFill>
                    <a:blip r:embed="rId13"/>
                    <a:stretch>
                      <a:fillRect/>
                    </a:stretch>
                  </pic:blipFill>
                  <pic:spPr>
                    <a:xfrm>
                      <a:off x="0" y="0"/>
                      <a:ext cx="5120640" cy="2146675"/>
                    </a:xfrm>
                    <a:prstGeom prst="rect"/>
                  </pic:spPr>
                </pic:pic>
              </a:graphicData>
            </a:graphic>
          </wp:inline>
        </w:drawing>
      </w:r>
    </w:p>
    <w:p>
      <w:pPr>
        <w:spacing w:after="120"/>
        <w:jc w:val="right"/>
      </w:pPr>
      <w:r>
        <w:t>式 2</w:t>
      </w:r>
    </w:p>
    <w:p>
      <w:pPr>
        <w:spacing w:line="348" w:lineRule="auto" w:after="100"/>
        <w:ind w:firstLine="480"/>
      </w:pPr>
      <w:r>
        <w:t>式 2 对可用事实向量进行时间衰减和质量加权。Δt 表示事实距预测起点的时间差，q 表示来源、长度和缺失情况形成的质量权重，ε 防止空集合除零。空文本窗口使用显式缺失指示，不把未知事实解释成真实零语义。</w:t>
      </w:r>
    </w:p>
    <w:p>
      <w:pPr>
        <w:keepNext/>
        <w:jc w:val="center"/>
      </w:pPr>
      <w:r>
        <w:drawing>
          <wp:inline xmlns:a="http://schemas.openxmlformats.org/drawingml/2006/main" xmlns:pic="http://schemas.openxmlformats.org/drawingml/2006/picture">
            <wp:extent cx="6035040" cy="3562317"/>
            <wp:docPr id="4" name="Picture 4" descr="图 2 各领域测试时段严格时点文本覆盖率"/>
            <wp:cNvGraphicFramePr>
              <a:graphicFrameLocks noChangeAspect="1"/>
            </wp:cNvGraphicFramePr>
            <a:graphic>
              <a:graphicData uri="http://schemas.openxmlformats.org/drawingml/2006/picture">
                <pic:pic>
                  <pic:nvPicPr>
                    <pic:cNvPr id="0" name="fig02_text_coverage.png"/>
                    <pic:cNvPicPr/>
                  </pic:nvPicPr>
                  <pic:blipFill>
                    <a:blip r:embed="rId14"/>
                    <a:stretch>
                      <a:fillRect/>
                    </a:stretch>
                  </pic:blipFill>
                  <pic:spPr>
                    <a:xfrm>
                      <a:off x="0" y="0"/>
                      <a:ext cx="6035040" cy="3562317"/>
                    </a:xfrm>
                    <a:prstGeom prst="rect"/>
                  </pic:spPr>
                </pic:pic>
              </a:graphicData>
            </a:graphic>
          </wp:inline>
        </w:drawing>
      </w:r>
    </w:p>
    <w:p>
      <w:pPr>
        <w:pStyle w:val="Caption"/>
        <w:keepNext w:val="0"/>
        <w:jc w:val="center"/>
      </w:pPr>
      <w:r>
        <w:t>图 2 各领域测试时段严格时点文本覆盖率</w:t>
      </w:r>
    </w:p>
    <w:p>
      <w:pPr>
        <w:pStyle w:val="Heading2"/>
        <w:keepNext/>
      </w:pPr>
      <w:r>
        <w:t>3.3 时间划分与防泄漏</w:t>
      </w:r>
    </w:p>
    <w:p>
      <w:pPr>
        <w:spacing w:line="348" w:lineRule="auto" w:after="100"/>
        <w:ind w:firstLine="480"/>
      </w:pPr>
      <w:r>
        <w:t>Time-MMD 按观测顺序划分 70% 训练、10% 验证和 20% 测试。输入长度为 24 个月，月度任务预测 3、6、12 或领域协议中的 4、12、24 个时间步。所有标准化、Ridge 参数选择和融合系数估计都限制在训练或验证区间内。开发领域参与规则调整，因此其测试结果称为开发性回测；Agriculture 和 Security 在协议冻结前未参与模型选择。</w:t>
      </w:r>
    </w:p>
    <w:p>
      <w:pPr>
        <w:pStyle w:val="Heading1"/>
        <w:keepNext/>
      </w:pPr>
      <w:r>
        <w:t>4 SafeFAME TS 方法</w:t>
      </w:r>
    </w:p>
    <w:p>
      <w:pPr>
        <w:pStyle w:val="Heading2"/>
        <w:keepNext/>
      </w:pPr>
      <w:r>
        <w:t>4.1 数值专家</w:t>
      </w:r>
    </w:p>
    <w:p>
      <w:pPr>
        <w:spacing w:line="348" w:lineRule="auto" w:after="100"/>
        <w:ind w:firstLine="480"/>
      </w:pPr>
      <w:r>
        <w:t>数值专家集合包括 Last、季节朴素、AR-Ridge、DLinear 和 PatchTST。AR-Ridge 以过去 L 个目标值预测未来 H 步，通过验证集在候选正则系数中选择 α。</w:t>
      </w:r>
    </w:p>
    <w:p>
      <w:pPr>
        <w:spacing w:before="80" w:after="40"/>
        <w:jc w:val="center"/>
      </w:pPr>
      <w:r>
        <w:drawing>
          <wp:inline xmlns:a="http://schemas.openxmlformats.org/drawingml/2006/main" xmlns:pic="http://schemas.openxmlformats.org/drawingml/2006/picture">
            <wp:extent cx="4480560" cy="790457"/>
            <wp:docPr id="5" name="Picture 5" descr="数学公式 3"/>
            <wp:cNvGraphicFramePr>
              <a:graphicFrameLocks noChangeAspect="1"/>
            </wp:cNvGraphicFramePr>
            <a:graphic>
              <a:graphicData uri="http://schemas.openxmlformats.org/drawingml/2006/picture">
                <pic:pic>
                  <pic:nvPicPr>
                    <pic:cNvPr id="0" name="eq03_ridge.png"/>
                    <pic:cNvPicPr/>
                  </pic:nvPicPr>
                  <pic:blipFill>
                    <a:blip r:embed="rId15"/>
                    <a:stretch>
                      <a:fillRect/>
                    </a:stretch>
                  </pic:blipFill>
                  <pic:spPr>
                    <a:xfrm>
                      <a:off x="0" y="0"/>
                      <a:ext cx="4480560" cy="790457"/>
                    </a:xfrm>
                    <a:prstGeom prst="rect"/>
                  </pic:spPr>
                </pic:pic>
              </a:graphicData>
            </a:graphic>
          </wp:inline>
        </w:drawing>
      </w:r>
    </w:p>
    <w:p>
      <w:pPr>
        <w:spacing w:after="120"/>
        <w:jc w:val="right"/>
      </w:pPr>
      <w:r>
        <w:t>式 3</w:t>
      </w:r>
    </w:p>
    <w:p>
      <w:pPr>
        <w:spacing w:line="348" w:lineRule="auto" w:after="100"/>
        <w:ind w:firstLine="480"/>
      </w:pPr>
      <w:r>
        <w:t>深度模型使用直接多步输出，避免递归预测的误差累积。PatchTST-M 接收全部数值通道，最终只输出 OT 目标。其输入长度 96、patch 长度 16、步长 8、隐藏维度 32、两层编码器和四个注意力头，参数规模受控。</w:t>
      </w:r>
    </w:p>
    <w:p>
      <w:pPr>
        <w:pStyle w:val="Heading2"/>
        <w:keepNext/>
      </w:pPr>
      <w:r>
        <w:t>4.2 语义与频率交互</w:t>
      </w:r>
    </w:p>
    <w:p>
      <w:pPr>
        <w:spacing w:line="348" w:lineRule="auto" w:after="100"/>
        <w:ind w:firstLine="480"/>
      </w:pPr>
      <w:r>
        <w:t>语义候选路径以数值预测为锚点，增加文本线性校正；完整路径再加入由输入序列离散傅里叶幅值提取的频率统计与文本向量交互。频率统计只从历史窗口计算，不使用未来目标。</w:t>
      </w:r>
    </w:p>
    <w:p>
      <w:pPr>
        <w:spacing w:before="80" w:after="40"/>
        <w:jc w:val="center"/>
      </w:pPr>
      <w:r>
        <w:drawing>
          <wp:inline xmlns:a="http://schemas.openxmlformats.org/drawingml/2006/main" xmlns:pic="http://schemas.openxmlformats.org/drawingml/2006/picture">
            <wp:extent cx="5303520" cy="596098"/>
            <wp:docPr id="6" name="Picture 6" descr="数学公式 4"/>
            <wp:cNvGraphicFramePr>
              <a:graphicFrameLocks noChangeAspect="1"/>
            </wp:cNvGraphicFramePr>
            <a:graphic>
              <a:graphicData uri="http://schemas.openxmlformats.org/drawingml/2006/picture">
                <pic:pic>
                  <pic:nvPicPr>
                    <pic:cNvPr id="0" name="eq04_fusion.png"/>
                    <pic:cNvPicPr/>
                  </pic:nvPicPr>
                  <pic:blipFill>
                    <a:blip r:embed="rId16"/>
                    <a:stretch>
                      <a:fillRect/>
                    </a:stretch>
                  </pic:blipFill>
                  <pic:spPr>
                    <a:xfrm>
                      <a:off x="0" y="0"/>
                      <a:ext cx="5303520" cy="596098"/>
                    </a:xfrm>
                    <a:prstGeom prst="rect"/>
                  </pic:spPr>
                </pic:pic>
              </a:graphicData>
            </a:graphic>
          </wp:inline>
        </w:drawing>
      </w:r>
    </w:p>
    <w:p>
      <w:pPr>
        <w:spacing w:after="120"/>
        <w:jc w:val="right"/>
      </w:pPr>
      <w:r>
        <w:t>式 4</w:t>
      </w:r>
    </w:p>
    <w:p>
      <w:pPr>
        <w:spacing w:line="348" w:lineRule="auto" w:after="100"/>
        <w:ind w:firstLine="480"/>
      </w:pPr>
      <w:r>
        <w:t>式 4 中，上标 n 表示数值路径，上标 s 表示语义候选；φ 为频率统计，U、Ws 和 Wf 为训练期估计并正则化的参数。无频率消融令 Wf 为零。该结构让频率交互具有可检验的增量，而不是把全部效果归因于文本。</w:t>
      </w:r>
    </w:p>
    <w:p>
      <w:pPr>
        <w:pStyle w:val="Heading2"/>
        <w:keepNext/>
      </w:pPr>
      <w:r>
        <w:t>4.3 反事实检验与安全选择</w:t>
      </w:r>
    </w:p>
    <w:p>
      <w:pPr>
        <w:spacing w:line="348" w:lineRule="auto" w:after="100"/>
        <w:ind w:firstLine="480"/>
      </w:pPr>
      <w:r>
        <w:t>对每个任务生成三次训练内文本置换，破坏文本与预测时点的对应关系，同时保留文本维度、边际分布和缺失率。若正确对齐路径不能超过置换路径，则文本可能只提供时间趋势、模板或样本身份线索。验证期再分为前后两半，要求语义路径在两半均优于数值路径。</w:t>
      </w:r>
    </w:p>
    <w:p>
      <w:pPr>
        <w:spacing w:before="80" w:after="40"/>
        <w:jc w:val="center"/>
      </w:pPr>
      <w:r>
        <w:drawing>
          <wp:inline xmlns:a="http://schemas.openxmlformats.org/drawingml/2006/main" xmlns:pic="http://schemas.openxmlformats.org/drawingml/2006/picture">
            <wp:extent cx="5577840" cy="467110"/>
            <wp:docPr id="7" name="Picture 7" descr="数学公式 5"/>
            <wp:cNvGraphicFramePr>
              <a:graphicFrameLocks noChangeAspect="1"/>
            </wp:cNvGraphicFramePr>
            <a:graphic>
              <a:graphicData uri="http://schemas.openxmlformats.org/drawingml/2006/picture">
                <pic:pic>
                  <pic:nvPicPr>
                    <pic:cNvPr id="0" name="eq05_select.png"/>
                    <pic:cNvPicPr/>
                  </pic:nvPicPr>
                  <pic:blipFill>
                    <a:blip r:embed="rId17"/>
                    <a:stretch>
                      <a:fillRect/>
                    </a:stretch>
                  </pic:blipFill>
                  <pic:spPr>
                    <a:xfrm>
                      <a:off x="0" y="0"/>
                      <a:ext cx="5577840" cy="467110"/>
                    </a:xfrm>
                    <a:prstGeom prst="rect"/>
                  </pic:spPr>
                </pic:pic>
              </a:graphicData>
            </a:graphic>
          </wp:inline>
        </w:drawing>
      </w:r>
    </w:p>
    <w:p>
      <w:pPr>
        <w:spacing w:after="120"/>
        <w:jc w:val="right"/>
      </w:pPr>
      <w:r>
        <w:t>式 5</w:t>
      </w:r>
    </w:p>
    <w:p>
      <w:pPr>
        <w:spacing w:line="348" w:lineRule="auto" w:after="100"/>
        <w:ind w:firstLine="480"/>
      </w:pPr>
      <w:r>
        <w:t>式 5 中，Vn、Vs 和 Vπ 分别为数值、语义和置换路径的验证误差。四个条件必须同时成立才启用语义，否则任务级回退到数值路径。启用后若单个预测与数值专家的分歧超过验证期校准阈值，也执行逐预测值回退。</w:t>
      </w:r>
    </w:p>
    <w:p>
      <w:pPr>
        <w:pStyle w:val="Heading2"/>
        <w:keepNext/>
      </w:pPr>
      <w:r>
        <w:t>4.4 评价指标与区间</w:t>
      </w:r>
    </w:p>
    <w:p>
      <w:pPr>
        <w:spacing w:before="80" w:after="40"/>
        <w:jc w:val="center"/>
      </w:pPr>
      <w:r>
        <w:drawing>
          <wp:inline xmlns:a="http://schemas.openxmlformats.org/drawingml/2006/main" xmlns:pic="http://schemas.openxmlformats.org/drawingml/2006/picture">
            <wp:extent cx="4297680" cy="1029652"/>
            <wp:docPr id="8" name="Picture 8" descr="数学公式 6"/>
            <wp:cNvGraphicFramePr>
              <a:graphicFrameLocks noChangeAspect="1"/>
            </wp:cNvGraphicFramePr>
            <a:graphic>
              <a:graphicData uri="http://schemas.openxmlformats.org/drawingml/2006/picture">
                <pic:pic>
                  <pic:nvPicPr>
                    <pic:cNvPr id="0" name="eq06_mse.png"/>
                    <pic:cNvPicPr/>
                  </pic:nvPicPr>
                  <pic:blipFill>
                    <a:blip r:embed="rId18"/>
                    <a:stretch>
                      <a:fillRect/>
                    </a:stretch>
                  </pic:blipFill>
                  <pic:spPr>
                    <a:xfrm>
                      <a:off x="0" y="0"/>
                      <a:ext cx="4297680" cy="1029652"/>
                    </a:xfrm>
                    <a:prstGeom prst="rect"/>
                  </pic:spPr>
                </pic:pic>
              </a:graphicData>
            </a:graphic>
          </wp:inline>
        </w:drawing>
      </w:r>
    </w:p>
    <w:p>
      <w:pPr>
        <w:spacing w:after="120"/>
        <w:jc w:val="right"/>
      </w:pPr>
      <w:r>
        <w:t>式 6</w:t>
      </w:r>
    </w:p>
    <w:p>
      <w:pPr>
        <w:spacing w:line="348" w:lineRule="auto" w:after="100"/>
        <w:ind w:firstLine="480"/>
      </w:pPr>
      <w:r>
        <w:t>主指标为 MSE，同时报告 MAE 和 RMSE。冻结确认实验以预测原点为重采样单位执行 1,000 次 Bootstrap，避免把同一预测窗口内高度相关的多个步长误当成独立样本。深度模型使用三个固定随机种子，并报告均值和标准差。</w:t>
      </w:r>
    </w:p>
    <w:p>
      <w:pPr>
        <w:pStyle w:val="Heading1"/>
        <w:keepNext/>
      </w:pPr>
      <w:r>
        <w:t>5 实验设置与实现</w:t>
      </w:r>
    </w:p>
    <w:p>
      <w:pPr>
        <w:pStyle w:val="Heading2"/>
        <w:keepNext/>
      </w:pPr>
      <w:r>
        <w:t>5.1 软件与硬件</w:t>
      </w:r>
    </w:p>
    <w:p>
      <w:pPr>
        <w:spacing w:line="348" w:lineRule="auto" w:after="100"/>
        <w:ind w:firstLine="480"/>
      </w:pPr>
      <w:r>
        <w:t>实验使用 Python 3.12、PyTorch 2.8.0 和 CUDA 12.8，在 NVIDIA GeForce RTX 5070 Laptop GPU 上运行。数据处理依赖 NumPy、pandas 和 scikit-learn，图表由 Matplotlib 与 seaborn 生成。所有包版本写入 requirements.txt，随机种子集中为 2026、2027 和 2028。</w:t>
      </w:r>
    </w:p>
    <w:p>
      <w:pPr>
        <w:pStyle w:val="Heading2"/>
        <w:keepNext/>
      </w:pPr>
      <w:r>
        <w:t>5.2 训练与选择</w:t>
      </w:r>
    </w:p>
    <w:p>
      <w:pPr>
        <w:pStyle w:val="Caption"/>
        <w:keepNext w:val="0"/>
        <w:jc w:val="center"/>
      </w:pPr>
      <w:r>
        <w:t>表 2 核心实验配置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9"/>
        <w:gridCol w:w="1999"/>
        <w:gridCol w:w="1999"/>
        <w:gridCol w:w="1999"/>
        <w:gridCol w:w="1999"/>
      </w:tblGrid>
      <w:tr>
        <w:trPr>
          <w:tblHeader w:val="true"/>
        </w:trPr>
        <w:tc>
          <w:tcPr>
            <w:tcW w:type="dxa" w:w="1656"/>
            <w:shd w:fill="234E70"/>
            <w:vAlign w:val="center"/>
            <w:tcMar>
              <w:top w:w="90" w:type="dxa"/>
              <w:start w:w="100" w:type="dxa"/>
              <w:bottom w:w="90" w:type="dxa"/>
              <w:end w:w="100" w:type="dxa"/>
            </w:tcMar>
          </w:tcPr>
          <w:p>
            <w:pPr>
              <w:jc w:val="center"/>
            </w:pPr>
            <w:r>
              <w:rPr>
                <w:b/>
                <w:color w:val="FFFFFF"/>
                <w:sz w:val="17"/>
              </w:rPr>
              <w:t>对象</w:t>
            </w:r>
          </w:p>
        </w:tc>
        <w:tc>
          <w:tcPr>
            <w:tcW w:type="dxa" w:w="1512"/>
            <w:shd w:fill="234E70"/>
            <w:vAlign w:val="center"/>
            <w:tcMar>
              <w:top w:w="90" w:type="dxa"/>
              <w:start w:w="100" w:type="dxa"/>
              <w:bottom w:w="90" w:type="dxa"/>
              <w:end w:w="100" w:type="dxa"/>
            </w:tcMar>
          </w:tcPr>
          <w:p>
            <w:pPr>
              <w:jc w:val="center"/>
            </w:pPr>
            <w:r>
              <w:rPr>
                <w:b/>
                <w:color w:val="FFFFFF"/>
                <w:sz w:val="17"/>
              </w:rPr>
              <w:t>输入</w:t>
            </w:r>
          </w:p>
        </w:tc>
        <w:tc>
          <w:tcPr>
            <w:tcW w:type="dxa" w:w="1944"/>
            <w:shd w:fill="234E70"/>
            <w:vAlign w:val="center"/>
            <w:tcMar>
              <w:top w:w="90" w:type="dxa"/>
              <w:start w:w="100" w:type="dxa"/>
              <w:bottom w:w="90" w:type="dxa"/>
              <w:end w:w="100" w:type="dxa"/>
            </w:tcMar>
          </w:tcPr>
          <w:p>
            <w:pPr>
              <w:jc w:val="center"/>
            </w:pPr>
            <w:r>
              <w:rPr>
                <w:b/>
                <w:color w:val="FFFFFF"/>
                <w:sz w:val="17"/>
              </w:rPr>
              <w:t>跨度</w:t>
            </w:r>
          </w:p>
        </w:tc>
        <w:tc>
          <w:tcPr>
            <w:tcW w:type="dxa" w:w="2520"/>
            <w:shd w:fill="234E70"/>
            <w:vAlign w:val="center"/>
            <w:tcMar>
              <w:top w:w="90" w:type="dxa"/>
              <w:start w:w="100" w:type="dxa"/>
              <w:bottom w:w="90" w:type="dxa"/>
              <w:end w:w="100" w:type="dxa"/>
            </w:tcMar>
          </w:tcPr>
          <w:p>
            <w:pPr>
              <w:jc w:val="center"/>
            </w:pPr>
            <w:r>
              <w:rPr>
                <w:b/>
                <w:color w:val="FFFFFF"/>
                <w:sz w:val="17"/>
              </w:rPr>
              <w:t>划分或训练</w:t>
            </w:r>
          </w:p>
        </w:tc>
        <w:tc>
          <w:tcPr>
            <w:tcW w:type="dxa" w:w="1656"/>
            <w:shd w:fill="234E70"/>
            <w:vAlign w:val="center"/>
            <w:tcMar>
              <w:top w:w="90" w:type="dxa"/>
              <w:start w:w="100" w:type="dxa"/>
              <w:bottom w:w="90" w:type="dxa"/>
              <w:end w:w="100" w:type="dxa"/>
            </w:tcMar>
          </w:tcPr>
          <w:p>
            <w:pPr>
              <w:jc w:val="center"/>
            </w:pPr>
            <w:r>
              <w:rPr>
                <w:b/>
                <w:color w:val="FFFFFF"/>
                <w:sz w:val="17"/>
              </w:rPr>
              <w:t>报告</w:t>
            </w:r>
          </w:p>
        </w:tc>
      </w:tr>
      <w:tr>
        <w:tc>
          <w:tcPr>
            <w:tcW w:type="dxa" w:w="1656"/>
            <w:vAlign w:val="center"/>
            <w:tcMar>
              <w:top w:w="90" w:type="dxa"/>
              <w:start w:w="100" w:type="dxa"/>
              <w:bottom w:w="90" w:type="dxa"/>
              <w:end w:w="100" w:type="dxa"/>
            </w:tcMar>
          </w:tcPr>
          <w:p>
            <w:pPr>
              <w:jc w:val="center"/>
            </w:pPr>
            <w:r>
              <w:rPr>
                <w:sz w:val="17"/>
              </w:rPr>
              <w:t>Time-MMD</w:t>
            </w:r>
          </w:p>
        </w:tc>
        <w:tc>
          <w:tcPr>
            <w:tcW w:type="dxa" w:w="1512"/>
            <w:vAlign w:val="center"/>
            <w:tcMar>
              <w:top w:w="90" w:type="dxa"/>
              <w:start w:w="100" w:type="dxa"/>
              <w:bottom w:w="90" w:type="dxa"/>
              <w:end w:w="100" w:type="dxa"/>
            </w:tcMar>
          </w:tcPr>
          <w:p>
            <w:pPr>
              <w:jc w:val="center"/>
            </w:pPr>
            <w:r>
              <w:rPr>
                <w:sz w:val="17"/>
              </w:rPr>
              <w:t>24</w:t>
            </w:r>
          </w:p>
        </w:tc>
        <w:tc>
          <w:tcPr>
            <w:tcW w:type="dxa" w:w="1944"/>
            <w:vAlign w:val="center"/>
            <w:tcMar>
              <w:top w:w="90" w:type="dxa"/>
              <w:start w:w="100" w:type="dxa"/>
              <w:bottom w:w="90" w:type="dxa"/>
              <w:end w:w="100" w:type="dxa"/>
            </w:tcMar>
          </w:tcPr>
          <w:p>
            <w:pPr>
              <w:jc w:val="center"/>
            </w:pPr>
            <w:r>
              <w:rPr>
                <w:sz w:val="17"/>
              </w:rPr>
              <w:t>3 4 6 12 24</w:t>
            </w:r>
          </w:p>
        </w:tc>
        <w:tc>
          <w:tcPr>
            <w:tcW w:type="dxa" w:w="2520"/>
            <w:vAlign w:val="center"/>
            <w:tcMar>
              <w:top w:w="90" w:type="dxa"/>
              <w:start w:w="100" w:type="dxa"/>
              <w:bottom w:w="90" w:type="dxa"/>
              <w:end w:w="100" w:type="dxa"/>
            </w:tcMar>
          </w:tcPr>
          <w:p>
            <w:pPr>
              <w:jc w:val="left"/>
            </w:pPr>
            <w:r>
              <w:rPr>
                <w:sz w:val="17"/>
              </w:rPr>
              <w:t>70 10 20 时间划分</w:t>
            </w:r>
          </w:p>
        </w:tc>
        <w:tc>
          <w:tcPr>
            <w:tcW w:type="dxa" w:w="1656"/>
            <w:vAlign w:val="center"/>
            <w:tcMar>
              <w:top w:w="90" w:type="dxa"/>
              <w:start w:w="100" w:type="dxa"/>
              <w:bottom w:w="90" w:type="dxa"/>
              <w:end w:w="100" w:type="dxa"/>
            </w:tcMar>
          </w:tcPr>
          <w:p>
            <w:pPr>
              <w:jc w:val="center"/>
            </w:pPr>
            <w:r>
              <w:rPr>
                <w:sz w:val="17"/>
              </w:rPr>
              <w:t>MSE</w:t>
            </w:r>
          </w:p>
        </w:tc>
      </w:tr>
      <w:tr>
        <w:tc>
          <w:tcPr>
            <w:tcW w:type="dxa" w:w="1656"/>
            <w:shd w:fill="EFF5F8"/>
            <w:vAlign w:val="center"/>
            <w:tcMar>
              <w:top w:w="90" w:type="dxa"/>
              <w:start w:w="100" w:type="dxa"/>
              <w:bottom w:w="90" w:type="dxa"/>
              <w:end w:w="100" w:type="dxa"/>
            </w:tcMar>
          </w:tcPr>
          <w:p>
            <w:pPr>
              <w:jc w:val="center"/>
            </w:pPr>
            <w:r>
              <w:rPr>
                <w:sz w:val="17"/>
              </w:rPr>
              <w:t>ETT</w:t>
            </w:r>
          </w:p>
        </w:tc>
        <w:tc>
          <w:tcPr>
            <w:tcW w:type="dxa" w:w="1512"/>
            <w:shd w:fill="EFF5F8"/>
            <w:vAlign w:val="center"/>
            <w:tcMar>
              <w:top w:w="90" w:type="dxa"/>
              <w:start w:w="100" w:type="dxa"/>
              <w:bottom w:w="90" w:type="dxa"/>
              <w:end w:w="100" w:type="dxa"/>
            </w:tcMar>
          </w:tcPr>
          <w:p>
            <w:pPr>
              <w:jc w:val="center"/>
            </w:pPr>
            <w:r>
              <w:rPr>
                <w:sz w:val="17"/>
              </w:rPr>
              <w:t>96</w:t>
            </w:r>
          </w:p>
        </w:tc>
        <w:tc>
          <w:tcPr>
            <w:tcW w:type="dxa" w:w="1944"/>
            <w:shd w:fill="EFF5F8"/>
            <w:vAlign w:val="center"/>
            <w:tcMar>
              <w:top w:w="90" w:type="dxa"/>
              <w:start w:w="100" w:type="dxa"/>
              <w:bottom w:w="90" w:type="dxa"/>
              <w:end w:w="100" w:type="dxa"/>
            </w:tcMar>
          </w:tcPr>
          <w:p>
            <w:pPr>
              <w:jc w:val="center"/>
            </w:pPr>
            <w:r>
              <w:rPr>
                <w:sz w:val="17"/>
              </w:rPr>
              <w:t>96 336 720</w:t>
            </w:r>
          </w:p>
        </w:tc>
        <w:tc>
          <w:tcPr>
            <w:tcW w:type="dxa" w:w="2520"/>
            <w:shd w:fill="EFF5F8"/>
            <w:vAlign w:val="center"/>
            <w:tcMar>
              <w:top w:w="90" w:type="dxa"/>
              <w:start w:w="100" w:type="dxa"/>
              <w:bottom w:w="90" w:type="dxa"/>
              <w:end w:w="100" w:type="dxa"/>
            </w:tcMar>
          </w:tcPr>
          <w:p>
            <w:pPr>
              <w:jc w:val="left"/>
            </w:pPr>
            <w:r>
              <w:rPr>
                <w:sz w:val="17"/>
              </w:rPr>
              <w:t>8640 2880 2880</w:t>
            </w:r>
          </w:p>
        </w:tc>
        <w:tc>
          <w:tcPr>
            <w:tcW w:type="dxa" w:w="1656"/>
            <w:shd w:fill="EFF5F8"/>
            <w:vAlign w:val="center"/>
            <w:tcMar>
              <w:top w:w="90" w:type="dxa"/>
              <w:start w:w="100" w:type="dxa"/>
              <w:bottom w:w="90" w:type="dxa"/>
              <w:end w:w="100" w:type="dxa"/>
            </w:tcMar>
          </w:tcPr>
          <w:p>
            <w:pPr>
              <w:jc w:val="center"/>
            </w:pPr>
            <w:r>
              <w:rPr>
                <w:sz w:val="17"/>
              </w:rPr>
              <w:t>MSE</w:t>
            </w:r>
          </w:p>
        </w:tc>
      </w:tr>
      <w:tr>
        <w:tc>
          <w:tcPr>
            <w:tcW w:type="dxa" w:w="1656"/>
            <w:vAlign w:val="center"/>
            <w:tcMar>
              <w:top w:w="90" w:type="dxa"/>
              <w:start w:w="100" w:type="dxa"/>
              <w:bottom w:w="90" w:type="dxa"/>
              <w:end w:w="100" w:type="dxa"/>
            </w:tcMar>
          </w:tcPr>
          <w:p>
            <w:pPr>
              <w:jc w:val="center"/>
            </w:pPr>
            <w:r>
              <w:rPr>
                <w:sz w:val="17"/>
              </w:rPr>
              <w:t>深度模型</w:t>
            </w:r>
          </w:p>
        </w:tc>
        <w:tc>
          <w:tcPr>
            <w:tcW w:type="dxa" w:w="1512"/>
            <w:vAlign w:val="center"/>
            <w:tcMar>
              <w:top w:w="90" w:type="dxa"/>
              <w:start w:w="100" w:type="dxa"/>
              <w:bottom w:w="90" w:type="dxa"/>
              <w:end w:w="100" w:type="dxa"/>
            </w:tcMar>
          </w:tcPr>
          <w:p>
            <w:pPr>
              <w:jc w:val="center"/>
            </w:pPr>
            <w:r>
              <w:rPr>
                <w:sz w:val="17"/>
              </w:rPr>
              <w:t>批量128</w:t>
            </w:r>
          </w:p>
        </w:tc>
        <w:tc>
          <w:tcPr>
            <w:tcW w:type="dxa" w:w="1944"/>
            <w:vAlign w:val="center"/>
            <w:tcMar>
              <w:top w:w="90" w:type="dxa"/>
              <w:start w:w="100" w:type="dxa"/>
              <w:bottom w:w="90" w:type="dxa"/>
              <w:end w:w="100" w:type="dxa"/>
            </w:tcMar>
          </w:tcPr>
          <w:p>
            <w:pPr>
              <w:jc w:val="center"/>
            </w:pPr>
            <w:r>
              <w:rPr>
                <w:sz w:val="17"/>
              </w:rPr>
              <w:t>最多60轮</w:t>
            </w:r>
          </w:p>
        </w:tc>
        <w:tc>
          <w:tcPr>
            <w:tcW w:type="dxa" w:w="2520"/>
            <w:vAlign w:val="center"/>
            <w:tcMar>
              <w:top w:w="90" w:type="dxa"/>
              <w:start w:w="100" w:type="dxa"/>
              <w:bottom w:w="90" w:type="dxa"/>
              <w:end w:w="100" w:type="dxa"/>
            </w:tcMar>
          </w:tcPr>
          <w:p>
            <w:pPr>
              <w:jc w:val="center"/>
            </w:pPr>
            <w:r>
              <w:rPr>
                <w:sz w:val="17"/>
              </w:rPr>
              <w:t>早停耐心8</w:t>
            </w:r>
          </w:p>
        </w:tc>
        <w:tc>
          <w:tcPr>
            <w:tcW w:type="dxa" w:w="1656"/>
            <w:vAlign w:val="center"/>
            <w:tcMar>
              <w:top w:w="90" w:type="dxa"/>
              <w:start w:w="100" w:type="dxa"/>
              <w:bottom w:w="90" w:type="dxa"/>
              <w:end w:w="100" w:type="dxa"/>
            </w:tcMar>
          </w:tcPr>
          <w:p>
            <w:pPr>
              <w:jc w:val="center"/>
            </w:pPr>
            <w:r>
              <w:rPr>
                <w:sz w:val="17"/>
              </w:rPr>
              <w:t>三种子</w:t>
            </w:r>
          </w:p>
        </w:tc>
      </w:tr>
      <w:tr>
        <w:tc>
          <w:tcPr>
            <w:tcW w:type="dxa" w:w="1656"/>
            <w:shd w:fill="EFF5F8"/>
            <w:vAlign w:val="center"/>
            <w:tcMar>
              <w:top w:w="90" w:type="dxa"/>
              <w:start w:w="100" w:type="dxa"/>
              <w:bottom w:w="90" w:type="dxa"/>
              <w:end w:w="100" w:type="dxa"/>
            </w:tcMar>
          </w:tcPr>
          <w:p>
            <w:pPr>
              <w:jc w:val="center"/>
            </w:pPr>
            <w:r>
              <w:rPr>
                <w:sz w:val="17"/>
              </w:rPr>
              <w:t>确认区间</w:t>
            </w:r>
          </w:p>
        </w:tc>
        <w:tc>
          <w:tcPr>
            <w:tcW w:type="dxa" w:w="1512"/>
            <w:shd w:fill="EFF5F8"/>
            <w:vAlign w:val="center"/>
            <w:tcMar>
              <w:top w:w="90" w:type="dxa"/>
              <w:start w:w="100" w:type="dxa"/>
              <w:bottom w:w="90" w:type="dxa"/>
              <w:end w:w="100" w:type="dxa"/>
            </w:tcMar>
          </w:tcPr>
          <w:p>
            <w:pPr>
              <w:jc w:val="center"/>
            </w:pPr>
            <w:r>
              <w:rPr>
                <w:sz w:val="17"/>
              </w:rPr>
              <w:t>预测原点</w:t>
            </w:r>
          </w:p>
        </w:tc>
        <w:tc>
          <w:tcPr>
            <w:tcW w:type="dxa" w:w="1944"/>
            <w:shd w:fill="EFF5F8"/>
            <w:vAlign w:val="center"/>
            <w:tcMar>
              <w:top w:w="90" w:type="dxa"/>
              <w:start w:w="100" w:type="dxa"/>
              <w:bottom w:w="90" w:type="dxa"/>
              <w:end w:w="100" w:type="dxa"/>
            </w:tcMar>
          </w:tcPr>
          <w:p>
            <w:pPr>
              <w:jc w:val="center"/>
            </w:pPr>
            <w:r>
              <w:rPr>
                <w:sz w:val="17"/>
              </w:rPr>
              <w:t>1000次</w:t>
            </w:r>
          </w:p>
        </w:tc>
        <w:tc>
          <w:tcPr>
            <w:tcW w:type="dxa" w:w="2520"/>
            <w:shd w:fill="EFF5F8"/>
            <w:vAlign w:val="center"/>
            <w:tcMar>
              <w:top w:w="90" w:type="dxa"/>
              <w:start w:w="100" w:type="dxa"/>
              <w:bottom w:w="90" w:type="dxa"/>
              <w:end w:w="100" w:type="dxa"/>
            </w:tcMar>
          </w:tcPr>
          <w:p>
            <w:pPr>
              <w:jc w:val="center"/>
            </w:pPr>
            <w:r>
              <w:rPr>
                <w:sz w:val="17"/>
              </w:rPr>
              <w:t>分位数区间</w:t>
            </w:r>
          </w:p>
        </w:tc>
        <w:tc>
          <w:tcPr>
            <w:tcW w:type="dxa" w:w="1656"/>
            <w:shd w:fill="EFF5F8"/>
            <w:vAlign w:val="center"/>
            <w:tcMar>
              <w:top w:w="90" w:type="dxa"/>
              <w:start w:w="100" w:type="dxa"/>
              <w:bottom w:w="90" w:type="dxa"/>
              <w:end w:w="100" w:type="dxa"/>
            </w:tcMar>
          </w:tcPr>
          <w:p>
            <w:pPr>
              <w:jc w:val="center"/>
            </w:pPr>
            <w:r>
              <w:rPr>
                <w:sz w:val="17"/>
              </w:rPr>
              <w:t>95%</w:t>
            </w:r>
          </w:p>
        </w:tc>
      </w:tr>
    </w:tbl>
    <w:p>
      <w:pPr>
        <w:spacing w:after="40"/>
      </w:pPr>
    </w:p>
    <w:p>
      <w:pPr>
        <w:spacing w:line="348" w:lineRule="auto" w:after="100"/>
        <w:ind w:firstLine="480"/>
      </w:pPr>
      <w:r>
        <w:t>验证集仅用于超参数和路径选择，测试集不参与文本筛选或门控阈值估计。ETT 的深度模型先在训练与验证划分上确定最佳训练轮数，再按该轮数使用训练加验证数据重训；保存每个种子的模型参数、训练日志和预测样本。</w:t>
      </w:r>
    </w:p>
    <w:p>
      <w:pPr>
        <w:pStyle w:val="Heading2"/>
        <w:keepNext/>
      </w:pPr>
      <w:r>
        <w:t>5.3 系统模块</w:t>
      </w:r>
    </w:p>
    <w:p>
      <w:pPr>
        <w:pStyle w:val="ListBullet"/>
        <w:spacing w:line="324" w:lineRule="auto" w:after="60"/>
      </w:pPr>
      <w:r>
        <w:t>数据审计模块检查时间顺序、字段类型、缺失、重复和文本泄漏风险。</w:t>
      </w:r>
    </w:p>
    <w:p>
      <w:pPr>
        <w:pStyle w:val="ListBullet"/>
        <w:spacing w:line="324" w:lineRule="auto" w:after="60"/>
      </w:pPr>
      <w:r>
        <w:t>特征模块生成严格时点文本索引、冻结语义向量和数值频率统计。</w:t>
      </w:r>
    </w:p>
    <w:p>
      <w:pPr>
        <w:pStyle w:val="ListBullet"/>
        <w:spacing w:line="324" w:lineRule="auto" w:after="60"/>
      </w:pPr>
      <w:r>
        <w:t>实验模块统一运行传统基线、深度基线、语义探针、确认实验和稳健性实验。</w:t>
      </w:r>
    </w:p>
    <w:p>
      <w:pPr>
        <w:pStyle w:val="ListBullet"/>
        <w:spacing w:line="324" w:lineRule="auto" w:after="60"/>
      </w:pPr>
      <w:r>
        <w:t>汇总模块从原始 CSV 重新计算论文表格、可核验主张和九张高清图。</w:t>
      </w:r>
    </w:p>
    <w:p>
      <w:pPr>
        <w:pStyle w:val="ListBullet"/>
        <w:spacing w:line="324" w:lineRule="auto" w:after="60"/>
      </w:pPr>
      <w:r>
        <w:t>结果看板展示开发、确认、ETT 和方法边界，不加载个人文件或未核验指标。</w:t>
      </w:r>
    </w:p>
    <w:p>
      <w:pPr>
        <w:pStyle w:val="Heading1"/>
        <w:keepNext/>
      </w:pPr>
      <w:r>
        <w:t>6 开发性回测结果</w:t>
      </w:r>
    </w:p>
    <w:p>
      <w:pPr>
        <w:pStyle w:val="Heading2"/>
        <w:keepNext/>
      </w:pPr>
      <w:r>
        <w:t>6.1 数值基线</w:t>
      </w:r>
    </w:p>
    <w:p>
      <w:pPr>
        <w:spacing w:line="348" w:lineRule="auto" w:after="100"/>
        <w:ind w:firstLine="480"/>
      </w:pPr>
      <w:r>
        <w:t>不同领域的最优数值模型并不一致。Climate 的短中跨度由 Last 获胜，长跨度由 AR-Ridge 获胜；Economy 三个跨度均由 DLinear-M 获胜；Energy 在 H=4 和 H=24 由 AR-Ridge 获胜，H=12 由 Last 获胜；Traffic 的 H=3 由 PatchTST 获胜，H=6 和 H=12 由 DLinear-M 获胜。这一结果否定了用单一复杂模型覆盖全部任务的做法。</w:t>
      </w:r>
    </w:p>
    <w:p>
      <w:pPr>
        <w:pStyle w:val="Heading2"/>
        <w:keepNext/>
      </w:pPr>
      <w:r>
        <w:t>6.2 语义增益</w:t>
      </w:r>
    </w:p>
    <w:p>
      <w:pPr>
        <w:pStyle w:val="Caption"/>
        <w:keepNext w:val="0"/>
        <w:jc w:val="center"/>
      </w:pPr>
      <w:r>
        <w:t>表 3 开发性回测中的对齐语义与数值基线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rPr>
        <w:tc>
          <w:tcPr>
            <w:tcW w:type="dxa" w:w="1800"/>
            <w:shd w:fill="234E70"/>
            <w:vAlign w:val="center"/>
            <w:tcMar>
              <w:top w:w="90" w:type="dxa"/>
              <w:start w:w="100" w:type="dxa"/>
              <w:bottom w:w="90" w:type="dxa"/>
              <w:end w:w="100" w:type="dxa"/>
            </w:tcMar>
          </w:tcPr>
          <w:p>
            <w:pPr>
              <w:jc w:val="center"/>
            </w:pPr>
            <w:r>
              <w:rPr>
                <w:b/>
                <w:color w:val="FFFFFF"/>
                <w:sz w:val="15"/>
              </w:rPr>
              <w:t>任务</w:t>
            </w:r>
          </w:p>
        </w:tc>
        <w:tc>
          <w:tcPr>
            <w:tcW w:type="dxa" w:w="1656"/>
            <w:shd w:fill="234E70"/>
            <w:vAlign w:val="center"/>
            <w:tcMar>
              <w:top w:w="90" w:type="dxa"/>
              <w:start w:w="100" w:type="dxa"/>
              <w:bottom w:w="90" w:type="dxa"/>
              <w:end w:w="100" w:type="dxa"/>
            </w:tcMar>
          </w:tcPr>
          <w:p>
            <w:pPr>
              <w:jc w:val="center"/>
            </w:pPr>
            <w:r>
              <w:rPr>
                <w:b/>
                <w:color w:val="FFFFFF"/>
                <w:sz w:val="15"/>
              </w:rPr>
              <w:t>数值优胜</w:t>
            </w:r>
          </w:p>
        </w:tc>
        <w:tc>
          <w:tcPr>
            <w:tcW w:type="dxa" w:w="1440"/>
            <w:shd w:fill="234E70"/>
            <w:vAlign w:val="center"/>
            <w:tcMar>
              <w:top w:w="90" w:type="dxa"/>
              <w:start w:w="100" w:type="dxa"/>
              <w:bottom w:w="90" w:type="dxa"/>
              <w:end w:w="100" w:type="dxa"/>
            </w:tcMar>
          </w:tcPr>
          <w:p>
            <w:pPr>
              <w:jc w:val="center"/>
            </w:pPr>
            <w:r>
              <w:rPr>
                <w:b/>
                <w:color w:val="FFFFFF"/>
                <w:sz w:val="15"/>
              </w:rPr>
              <w:t>数值MSE</w:t>
            </w:r>
          </w:p>
        </w:tc>
        <w:tc>
          <w:tcPr>
            <w:tcW w:type="dxa" w:w="1440"/>
            <w:shd w:fill="234E70"/>
            <w:vAlign w:val="center"/>
            <w:tcMar>
              <w:top w:w="90" w:type="dxa"/>
              <w:start w:w="100" w:type="dxa"/>
              <w:bottom w:w="90" w:type="dxa"/>
              <w:end w:w="100" w:type="dxa"/>
            </w:tcMar>
          </w:tcPr>
          <w:p>
            <w:pPr>
              <w:jc w:val="center"/>
            </w:pPr>
            <w:r>
              <w:rPr>
                <w:b/>
                <w:color w:val="FFFFFF"/>
                <w:sz w:val="15"/>
              </w:rPr>
              <w:t>对齐MSE</w:t>
            </w:r>
          </w:p>
        </w:tc>
        <w:tc>
          <w:tcPr>
            <w:tcW w:type="dxa" w:w="1440"/>
            <w:shd w:fill="234E70"/>
            <w:vAlign w:val="center"/>
            <w:tcMar>
              <w:top w:w="90" w:type="dxa"/>
              <w:start w:w="100" w:type="dxa"/>
              <w:bottom w:w="90" w:type="dxa"/>
              <w:end w:w="100" w:type="dxa"/>
            </w:tcMar>
          </w:tcPr>
          <w:p>
            <w:pPr>
              <w:jc w:val="center"/>
            </w:pPr>
            <w:r>
              <w:rPr>
                <w:b/>
                <w:color w:val="FFFFFF"/>
                <w:sz w:val="15"/>
              </w:rPr>
              <w:t>置换MSE</w:t>
            </w:r>
          </w:p>
        </w:tc>
        <w:tc>
          <w:tcPr>
            <w:tcW w:type="dxa" w:w="1152"/>
            <w:shd w:fill="234E70"/>
            <w:vAlign w:val="center"/>
            <w:tcMar>
              <w:top w:w="90" w:type="dxa"/>
              <w:start w:w="100" w:type="dxa"/>
              <w:bottom w:w="90" w:type="dxa"/>
              <w:end w:w="100" w:type="dxa"/>
            </w:tcMar>
          </w:tcPr>
          <w:p>
            <w:pPr>
              <w:jc w:val="center"/>
            </w:pPr>
            <w:r>
              <w:rPr>
                <w:b/>
                <w:color w:val="FFFFFF"/>
                <w:sz w:val="15"/>
              </w:rPr>
              <w:t>改善</w:t>
            </w:r>
          </w:p>
        </w:tc>
      </w:tr>
      <w:tr>
        <w:tc>
          <w:tcPr>
            <w:tcW w:type="dxa" w:w="1800"/>
            <w:vAlign w:val="center"/>
            <w:tcMar>
              <w:top w:w="90" w:type="dxa"/>
              <w:start w:w="100" w:type="dxa"/>
              <w:bottom w:w="90" w:type="dxa"/>
              <w:end w:w="100" w:type="dxa"/>
            </w:tcMar>
          </w:tcPr>
          <w:p>
            <w:pPr>
              <w:jc w:val="center"/>
            </w:pPr>
            <w:r>
              <w:rPr>
                <w:sz w:val="15"/>
              </w:rPr>
              <w:t>Climate H=4</w:t>
            </w:r>
          </w:p>
        </w:tc>
        <w:tc>
          <w:tcPr>
            <w:tcW w:type="dxa" w:w="1656"/>
            <w:vAlign w:val="center"/>
            <w:tcMar>
              <w:top w:w="90" w:type="dxa"/>
              <w:start w:w="100" w:type="dxa"/>
              <w:bottom w:w="90" w:type="dxa"/>
              <w:end w:w="100" w:type="dxa"/>
            </w:tcMar>
          </w:tcPr>
          <w:p>
            <w:pPr>
              <w:jc w:val="center"/>
            </w:pPr>
            <w:r>
              <w:rPr>
                <w:sz w:val="15"/>
              </w:rPr>
              <w:t>Last</w:t>
            </w:r>
          </w:p>
        </w:tc>
        <w:tc>
          <w:tcPr>
            <w:tcW w:type="dxa" w:w="1440"/>
            <w:vAlign w:val="center"/>
            <w:tcMar>
              <w:top w:w="90" w:type="dxa"/>
              <w:start w:w="100" w:type="dxa"/>
              <w:bottom w:w="90" w:type="dxa"/>
              <w:end w:w="100" w:type="dxa"/>
            </w:tcMar>
          </w:tcPr>
          <w:p>
            <w:pPr>
              <w:jc w:val="center"/>
            </w:pPr>
            <w:r>
              <w:rPr>
                <w:sz w:val="15"/>
              </w:rPr>
              <w:t>0.132972</w:t>
            </w:r>
          </w:p>
        </w:tc>
        <w:tc>
          <w:tcPr>
            <w:tcW w:type="dxa" w:w="1440"/>
            <w:vAlign w:val="center"/>
            <w:tcMar>
              <w:top w:w="90" w:type="dxa"/>
              <w:start w:w="100" w:type="dxa"/>
              <w:bottom w:w="90" w:type="dxa"/>
              <w:end w:w="100" w:type="dxa"/>
            </w:tcMar>
          </w:tcPr>
          <w:p>
            <w:pPr>
              <w:jc w:val="center"/>
            </w:pPr>
            <w:r>
              <w:rPr>
                <w:sz w:val="15"/>
              </w:rPr>
              <w:t>0.165190</w:t>
            </w:r>
          </w:p>
        </w:tc>
        <w:tc>
          <w:tcPr>
            <w:tcW w:type="dxa" w:w="1440"/>
            <w:vAlign w:val="center"/>
            <w:tcMar>
              <w:top w:w="90" w:type="dxa"/>
              <w:start w:w="100" w:type="dxa"/>
              <w:bottom w:w="90" w:type="dxa"/>
              <w:end w:w="100" w:type="dxa"/>
            </w:tcMar>
          </w:tcPr>
          <w:p>
            <w:pPr>
              <w:jc w:val="center"/>
            </w:pPr>
            <w:r>
              <w:rPr>
                <w:sz w:val="15"/>
              </w:rPr>
              <w:t>0.147484</w:t>
            </w:r>
          </w:p>
        </w:tc>
        <w:tc>
          <w:tcPr>
            <w:tcW w:type="dxa" w:w="1152"/>
            <w:vAlign w:val="center"/>
            <w:tcMar>
              <w:top w:w="90" w:type="dxa"/>
              <w:start w:w="100" w:type="dxa"/>
              <w:bottom w:w="90" w:type="dxa"/>
              <w:end w:w="100" w:type="dxa"/>
            </w:tcMar>
          </w:tcPr>
          <w:p>
            <w:pPr>
              <w:jc w:val="center"/>
            </w:pPr>
            <w:r>
              <w:rPr>
                <w:sz w:val="15"/>
              </w:rPr>
              <w:t>-24.23%</w:t>
            </w:r>
          </w:p>
        </w:tc>
      </w:tr>
      <w:tr>
        <w:tc>
          <w:tcPr>
            <w:tcW w:type="dxa" w:w="1800"/>
            <w:shd w:fill="EFF5F8"/>
            <w:vAlign w:val="center"/>
            <w:tcMar>
              <w:top w:w="90" w:type="dxa"/>
              <w:start w:w="100" w:type="dxa"/>
              <w:bottom w:w="90" w:type="dxa"/>
              <w:end w:w="100" w:type="dxa"/>
            </w:tcMar>
          </w:tcPr>
          <w:p>
            <w:pPr>
              <w:jc w:val="center"/>
            </w:pPr>
            <w:r>
              <w:rPr>
                <w:sz w:val="15"/>
              </w:rPr>
              <w:t>Climate H=12</w:t>
            </w:r>
          </w:p>
        </w:tc>
        <w:tc>
          <w:tcPr>
            <w:tcW w:type="dxa" w:w="1656"/>
            <w:shd w:fill="EFF5F8"/>
            <w:vAlign w:val="center"/>
            <w:tcMar>
              <w:top w:w="90" w:type="dxa"/>
              <w:start w:w="100" w:type="dxa"/>
              <w:bottom w:w="90" w:type="dxa"/>
              <w:end w:w="100" w:type="dxa"/>
            </w:tcMar>
          </w:tcPr>
          <w:p>
            <w:pPr>
              <w:jc w:val="center"/>
            </w:pPr>
            <w:r>
              <w:rPr>
                <w:sz w:val="15"/>
              </w:rPr>
              <w:t>Last</w:t>
            </w:r>
          </w:p>
        </w:tc>
        <w:tc>
          <w:tcPr>
            <w:tcW w:type="dxa" w:w="1440"/>
            <w:shd w:fill="EFF5F8"/>
            <w:vAlign w:val="center"/>
            <w:tcMar>
              <w:top w:w="90" w:type="dxa"/>
              <w:start w:w="100" w:type="dxa"/>
              <w:bottom w:w="90" w:type="dxa"/>
              <w:end w:w="100" w:type="dxa"/>
            </w:tcMar>
          </w:tcPr>
          <w:p>
            <w:pPr>
              <w:jc w:val="center"/>
            </w:pPr>
            <w:r>
              <w:rPr>
                <w:sz w:val="15"/>
              </w:rPr>
              <w:t>0.429719</w:t>
            </w:r>
          </w:p>
        </w:tc>
        <w:tc>
          <w:tcPr>
            <w:tcW w:type="dxa" w:w="1440"/>
            <w:shd w:fill="EFF5F8"/>
            <w:vAlign w:val="center"/>
            <w:tcMar>
              <w:top w:w="90" w:type="dxa"/>
              <w:start w:w="100" w:type="dxa"/>
              <w:bottom w:w="90" w:type="dxa"/>
              <w:end w:w="100" w:type="dxa"/>
            </w:tcMar>
          </w:tcPr>
          <w:p>
            <w:pPr>
              <w:jc w:val="center"/>
            </w:pPr>
            <w:r>
              <w:rPr>
                <w:sz w:val="15"/>
              </w:rPr>
              <w:t>0.538391</w:t>
            </w:r>
          </w:p>
        </w:tc>
        <w:tc>
          <w:tcPr>
            <w:tcW w:type="dxa" w:w="1440"/>
            <w:shd w:fill="EFF5F8"/>
            <w:vAlign w:val="center"/>
            <w:tcMar>
              <w:top w:w="90" w:type="dxa"/>
              <w:start w:w="100" w:type="dxa"/>
              <w:bottom w:w="90" w:type="dxa"/>
              <w:end w:w="100" w:type="dxa"/>
            </w:tcMar>
          </w:tcPr>
          <w:p>
            <w:pPr>
              <w:jc w:val="center"/>
            </w:pPr>
            <w:r>
              <w:rPr>
                <w:sz w:val="15"/>
              </w:rPr>
              <w:t>0.526567</w:t>
            </w:r>
          </w:p>
        </w:tc>
        <w:tc>
          <w:tcPr>
            <w:tcW w:type="dxa" w:w="1152"/>
            <w:shd w:fill="EFF5F8"/>
            <w:vAlign w:val="center"/>
            <w:tcMar>
              <w:top w:w="90" w:type="dxa"/>
              <w:start w:w="100" w:type="dxa"/>
              <w:bottom w:w="90" w:type="dxa"/>
              <w:end w:w="100" w:type="dxa"/>
            </w:tcMar>
          </w:tcPr>
          <w:p>
            <w:pPr>
              <w:jc w:val="center"/>
            </w:pPr>
            <w:r>
              <w:rPr>
                <w:sz w:val="15"/>
              </w:rPr>
              <w:t>-25.29%</w:t>
            </w:r>
          </w:p>
        </w:tc>
      </w:tr>
      <w:tr>
        <w:tc>
          <w:tcPr>
            <w:tcW w:type="dxa" w:w="1800"/>
            <w:vAlign w:val="center"/>
            <w:tcMar>
              <w:top w:w="90" w:type="dxa"/>
              <w:start w:w="100" w:type="dxa"/>
              <w:bottom w:w="90" w:type="dxa"/>
              <w:end w:w="100" w:type="dxa"/>
            </w:tcMar>
          </w:tcPr>
          <w:p>
            <w:pPr>
              <w:jc w:val="center"/>
            </w:pPr>
            <w:r>
              <w:rPr>
                <w:sz w:val="15"/>
              </w:rPr>
              <w:t>Climate H=24</w:t>
            </w:r>
          </w:p>
        </w:tc>
        <w:tc>
          <w:tcPr>
            <w:tcW w:type="dxa" w:w="1656"/>
            <w:vAlign w:val="center"/>
            <w:tcMar>
              <w:top w:w="90" w:type="dxa"/>
              <w:start w:w="100" w:type="dxa"/>
              <w:bottom w:w="90" w:type="dxa"/>
              <w:end w:w="100" w:type="dxa"/>
            </w:tcMar>
          </w:tcPr>
          <w:p>
            <w:pPr>
              <w:jc w:val="center"/>
            </w:pPr>
            <w:r>
              <w:rPr>
                <w:sz w:val="15"/>
              </w:rPr>
              <w:t>ARRidge</w:t>
            </w:r>
          </w:p>
        </w:tc>
        <w:tc>
          <w:tcPr>
            <w:tcW w:type="dxa" w:w="1440"/>
            <w:vAlign w:val="center"/>
            <w:tcMar>
              <w:top w:w="90" w:type="dxa"/>
              <w:start w:w="100" w:type="dxa"/>
              <w:bottom w:w="90" w:type="dxa"/>
              <w:end w:w="100" w:type="dxa"/>
            </w:tcMar>
          </w:tcPr>
          <w:p>
            <w:pPr>
              <w:jc w:val="center"/>
            </w:pPr>
            <w:r>
              <w:rPr>
                <w:sz w:val="15"/>
              </w:rPr>
              <w:t>0.871918</w:t>
            </w:r>
          </w:p>
        </w:tc>
        <w:tc>
          <w:tcPr>
            <w:tcW w:type="dxa" w:w="1440"/>
            <w:vAlign w:val="center"/>
            <w:tcMar>
              <w:top w:w="90" w:type="dxa"/>
              <w:start w:w="100" w:type="dxa"/>
              <w:bottom w:w="90" w:type="dxa"/>
              <w:end w:w="100" w:type="dxa"/>
            </w:tcMar>
          </w:tcPr>
          <w:p>
            <w:pPr>
              <w:jc w:val="center"/>
            </w:pPr>
            <w:r>
              <w:rPr>
                <w:sz w:val="15"/>
              </w:rPr>
              <w:t>1.046094</w:t>
            </w:r>
          </w:p>
        </w:tc>
        <w:tc>
          <w:tcPr>
            <w:tcW w:type="dxa" w:w="1440"/>
            <w:vAlign w:val="center"/>
            <w:tcMar>
              <w:top w:w="90" w:type="dxa"/>
              <w:start w:w="100" w:type="dxa"/>
              <w:bottom w:w="90" w:type="dxa"/>
              <w:end w:w="100" w:type="dxa"/>
            </w:tcMar>
          </w:tcPr>
          <w:p>
            <w:pPr>
              <w:jc w:val="center"/>
            </w:pPr>
            <w:r>
              <w:rPr>
                <w:sz w:val="15"/>
              </w:rPr>
              <w:t>0.924807</w:t>
            </w:r>
          </w:p>
        </w:tc>
        <w:tc>
          <w:tcPr>
            <w:tcW w:type="dxa" w:w="1152"/>
            <w:vAlign w:val="center"/>
            <w:tcMar>
              <w:top w:w="90" w:type="dxa"/>
              <w:start w:w="100" w:type="dxa"/>
              <w:bottom w:w="90" w:type="dxa"/>
              <w:end w:w="100" w:type="dxa"/>
            </w:tcMar>
          </w:tcPr>
          <w:p>
            <w:pPr>
              <w:jc w:val="center"/>
            </w:pPr>
            <w:r>
              <w:rPr>
                <w:sz w:val="15"/>
              </w:rPr>
              <w:t>-19.98%</w:t>
            </w:r>
          </w:p>
        </w:tc>
      </w:tr>
      <w:tr>
        <w:tc>
          <w:tcPr>
            <w:tcW w:type="dxa" w:w="1800"/>
            <w:shd w:fill="EFF5F8"/>
            <w:vAlign w:val="center"/>
            <w:tcMar>
              <w:top w:w="90" w:type="dxa"/>
              <w:start w:w="100" w:type="dxa"/>
              <w:bottom w:w="90" w:type="dxa"/>
              <w:end w:w="100" w:type="dxa"/>
            </w:tcMar>
          </w:tcPr>
          <w:p>
            <w:pPr>
              <w:jc w:val="center"/>
            </w:pPr>
            <w:r>
              <w:rPr>
                <w:sz w:val="15"/>
              </w:rPr>
              <w:t>Economy H=3</w:t>
            </w:r>
          </w:p>
        </w:tc>
        <w:tc>
          <w:tcPr>
            <w:tcW w:type="dxa" w:w="1656"/>
            <w:shd w:fill="EFF5F8"/>
            <w:vAlign w:val="center"/>
            <w:tcMar>
              <w:top w:w="90" w:type="dxa"/>
              <w:start w:w="100" w:type="dxa"/>
              <w:bottom w:w="90" w:type="dxa"/>
              <w:end w:w="100" w:type="dxa"/>
            </w:tcMar>
          </w:tcPr>
          <w:p>
            <w:pPr>
              <w:jc w:val="center"/>
            </w:pPr>
            <w:r>
              <w:rPr>
                <w:sz w:val="15"/>
              </w:rPr>
              <w:t>DLinear-M</w:t>
            </w:r>
          </w:p>
        </w:tc>
        <w:tc>
          <w:tcPr>
            <w:tcW w:type="dxa" w:w="1440"/>
            <w:shd w:fill="EFF5F8"/>
            <w:vAlign w:val="center"/>
            <w:tcMar>
              <w:top w:w="90" w:type="dxa"/>
              <w:start w:w="100" w:type="dxa"/>
              <w:bottom w:w="90" w:type="dxa"/>
              <w:end w:w="100" w:type="dxa"/>
            </w:tcMar>
          </w:tcPr>
          <w:p>
            <w:pPr>
              <w:jc w:val="center"/>
            </w:pPr>
            <w:r>
              <w:rPr>
                <w:sz w:val="15"/>
              </w:rPr>
              <w:t>0.104377</w:t>
            </w:r>
          </w:p>
        </w:tc>
        <w:tc>
          <w:tcPr>
            <w:tcW w:type="dxa" w:w="1440"/>
            <w:shd w:fill="EFF5F8"/>
            <w:vAlign w:val="center"/>
            <w:tcMar>
              <w:top w:w="90" w:type="dxa"/>
              <w:start w:w="100" w:type="dxa"/>
              <w:bottom w:w="90" w:type="dxa"/>
              <w:end w:w="100" w:type="dxa"/>
            </w:tcMar>
          </w:tcPr>
          <w:p>
            <w:pPr>
              <w:jc w:val="center"/>
            </w:pPr>
            <w:r>
              <w:rPr>
                <w:sz w:val="15"/>
              </w:rPr>
              <w:t>0.132453</w:t>
            </w:r>
          </w:p>
        </w:tc>
        <w:tc>
          <w:tcPr>
            <w:tcW w:type="dxa" w:w="1440"/>
            <w:shd w:fill="EFF5F8"/>
            <w:vAlign w:val="center"/>
            <w:tcMar>
              <w:top w:w="90" w:type="dxa"/>
              <w:start w:w="100" w:type="dxa"/>
              <w:bottom w:w="90" w:type="dxa"/>
              <w:end w:w="100" w:type="dxa"/>
            </w:tcMar>
          </w:tcPr>
          <w:p>
            <w:pPr>
              <w:jc w:val="center"/>
            </w:pPr>
            <w:r>
              <w:rPr>
                <w:sz w:val="15"/>
              </w:rPr>
              <w:t>0.114897</w:t>
            </w:r>
          </w:p>
        </w:tc>
        <w:tc>
          <w:tcPr>
            <w:tcW w:type="dxa" w:w="1152"/>
            <w:shd w:fill="EFF5F8"/>
            <w:vAlign w:val="center"/>
            <w:tcMar>
              <w:top w:w="90" w:type="dxa"/>
              <w:start w:w="100" w:type="dxa"/>
              <w:bottom w:w="90" w:type="dxa"/>
              <w:end w:w="100" w:type="dxa"/>
            </w:tcMar>
          </w:tcPr>
          <w:p>
            <w:pPr>
              <w:jc w:val="center"/>
            </w:pPr>
            <w:r>
              <w:rPr>
                <w:sz w:val="15"/>
              </w:rPr>
              <w:t>-26.90%</w:t>
            </w:r>
          </w:p>
        </w:tc>
      </w:tr>
      <w:tr>
        <w:tc>
          <w:tcPr>
            <w:tcW w:type="dxa" w:w="1800"/>
            <w:vAlign w:val="center"/>
            <w:tcMar>
              <w:top w:w="90" w:type="dxa"/>
              <w:start w:w="100" w:type="dxa"/>
              <w:bottom w:w="90" w:type="dxa"/>
              <w:end w:w="100" w:type="dxa"/>
            </w:tcMar>
          </w:tcPr>
          <w:p>
            <w:pPr>
              <w:jc w:val="center"/>
            </w:pPr>
            <w:r>
              <w:rPr>
                <w:sz w:val="15"/>
              </w:rPr>
              <w:t>Economy H=6</w:t>
            </w:r>
          </w:p>
        </w:tc>
        <w:tc>
          <w:tcPr>
            <w:tcW w:type="dxa" w:w="1656"/>
            <w:vAlign w:val="center"/>
            <w:tcMar>
              <w:top w:w="90" w:type="dxa"/>
              <w:start w:w="100" w:type="dxa"/>
              <w:bottom w:w="90" w:type="dxa"/>
              <w:end w:w="100" w:type="dxa"/>
            </w:tcMar>
          </w:tcPr>
          <w:p>
            <w:pPr>
              <w:jc w:val="center"/>
            </w:pPr>
            <w:r>
              <w:rPr>
                <w:sz w:val="15"/>
              </w:rPr>
              <w:t>DLinear-M</w:t>
            </w:r>
          </w:p>
        </w:tc>
        <w:tc>
          <w:tcPr>
            <w:tcW w:type="dxa" w:w="1440"/>
            <w:vAlign w:val="center"/>
            <w:tcMar>
              <w:top w:w="90" w:type="dxa"/>
              <w:start w:w="100" w:type="dxa"/>
              <w:bottom w:w="90" w:type="dxa"/>
              <w:end w:w="100" w:type="dxa"/>
            </w:tcMar>
          </w:tcPr>
          <w:p>
            <w:pPr>
              <w:jc w:val="center"/>
            </w:pPr>
            <w:r>
              <w:rPr>
                <w:sz w:val="15"/>
              </w:rPr>
              <w:t>0.134370</w:t>
            </w:r>
          </w:p>
        </w:tc>
        <w:tc>
          <w:tcPr>
            <w:tcW w:type="dxa" w:w="1440"/>
            <w:vAlign w:val="center"/>
            <w:tcMar>
              <w:top w:w="90" w:type="dxa"/>
              <w:start w:w="100" w:type="dxa"/>
              <w:bottom w:w="90" w:type="dxa"/>
              <w:end w:w="100" w:type="dxa"/>
            </w:tcMar>
          </w:tcPr>
          <w:p>
            <w:pPr>
              <w:jc w:val="center"/>
            </w:pPr>
            <w:r>
              <w:rPr>
                <w:sz w:val="15"/>
              </w:rPr>
              <w:t>0.225957</w:t>
            </w:r>
          </w:p>
        </w:tc>
        <w:tc>
          <w:tcPr>
            <w:tcW w:type="dxa" w:w="1440"/>
            <w:vAlign w:val="center"/>
            <w:tcMar>
              <w:top w:w="90" w:type="dxa"/>
              <w:start w:w="100" w:type="dxa"/>
              <w:bottom w:w="90" w:type="dxa"/>
              <w:end w:w="100" w:type="dxa"/>
            </w:tcMar>
          </w:tcPr>
          <w:p>
            <w:pPr>
              <w:jc w:val="center"/>
            </w:pPr>
            <w:r>
              <w:rPr>
                <w:sz w:val="15"/>
              </w:rPr>
              <w:t>0.141077</w:t>
            </w:r>
          </w:p>
        </w:tc>
        <w:tc>
          <w:tcPr>
            <w:tcW w:type="dxa" w:w="1152"/>
            <w:vAlign w:val="center"/>
            <w:tcMar>
              <w:top w:w="90" w:type="dxa"/>
              <w:start w:w="100" w:type="dxa"/>
              <w:bottom w:w="90" w:type="dxa"/>
              <w:end w:w="100" w:type="dxa"/>
            </w:tcMar>
          </w:tcPr>
          <w:p>
            <w:pPr>
              <w:jc w:val="center"/>
            </w:pPr>
            <w:r>
              <w:rPr>
                <w:sz w:val="15"/>
              </w:rPr>
              <w:t>-68.16%</w:t>
            </w:r>
          </w:p>
        </w:tc>
      </w:tr>
      <w:tr>
        <w:tc>
          <w:tcPr>
            <w:tcW w:type="dxa" w:w="1800"/>
            <w:shd w:fill="EFF5F8"/>
            <w:vAlign w:val="center"/>
            <w:tcMar>
              <w:top w:w="90" w:type="dxa"/>
              <w:start w:w="100" w:type="dxa"/>
              <w:bottom w:w="90" w:type="dxa"/>
              <w:end w:w="100" w:type="dxa"/>
            </w:tcMar>
          </w:tcPr>
          <w:p>
            <w:pPr>
              <w:jc w:val="center"/>
            </w:pPr>
            <w:r>
              <w:rPr>
                <w:sz w:val="15"/>
              </w:rPr>
              <w:t>Economy H=12</w:t>
            </w:r>
          </w:p>
        </w:tc>
        <w:tc>
          <w:tcPr>
            <w:tcW w:type="dxa" w:w="1656"/>
            <w:shd w:fill="EFF5F8"/>
            <w:vAlign w:val="center"/>
            <w:tcMar>
              <w:top w:w="90" w:type="dxa"/>
              <w:start w:w="100" w:type="dxa"/>
              <w:bottom w:w="90" w:type="dxa"/>
              <w:end w:w="100" w:type="dxa"/>
            </w:tcMar>
          </w:tcPr>
          <w:p>
            <w:pPr>
              <w:jc w:val="center"/>
            </w:pPr>
            <w:r>
              <w:rPr>
                <w:sz w:val="15"/>
              </w:rPr>
              <w:t>DLinear-M</w:t>
            </w:r>
          </w:p>
        </w:tc>
        <w:tc>
          <w:tcPr>
            <w:tcW w:type="dxa" w:w="1440"/>
            <w:shd w:fill="EFF5F8"/>
            <w:vAlign w:val="center"/>
            <w:tcMar>
              <w:top w:w="90" w:type="dxa"/>
              <w:start w:w="100" w:type="dxa"/>
              <w:bottom w:w="90" w:type="dxa"/>
              <w:end w:w="100" w:type="dxa"/>
            </w:tcMar>
          </w:tcPr>
          <w:p>
            <w:pPr>
              <w:jc w:val="center"/>
            </w:pPr>
            <w:r>
              <w:rPr>
                <w:sz w:val="15"/>
              </w:rPr>
              <w:t>0.179021</w:t>
            </w:r>
          </w:p>
        </w:tc>
        <w:tc>
          <w:tcPr>
            <w:tcW w:type="dxa" w:w="1440"/>
            <w:shd w:fill="EFF5F8"/>
            <w:vAlign w:val="center"/>
            <w:tcMar>
              <w:top w:w="90" w:type="dxa"/>
              <w:start w:w="100" w:type="dxa"/>
              <w:bottom w:w="90" w:type="dxa"/>
              <w:end w:w="100" w:type="dxa"/>
            </w:tcMar>
          </w:tcPr>
          <w:p>
            <w:pPr>
              <w:jc w:val="center"/>
            </w:pPr>
            <w:r>
              <w:rPr>
                <w:sz w:val="15"/>
              </w:rPr>
              <w:t>0.407627</w:t>
            </w:r>
          </w:p>
        </w:tc>
        <w:tc>
          <w:tcPr>
            <w:tcW w:type="dxa" w:w="1440"/>
            <w:shd w:fill="EFF5F8"/>
            <w:vAlign w:val="center"/>
            <w:tcMar>
              <w:top w:w="90" w:type="dxa"/>
              <w:start w:w="100" w:type="dxa"/>
              <w:bottom w:w="90" w:type="dxa"/>
              <w:end w:w="100" w:type="dxa"/>
            </w:tcMar>
          </w:tcPr>
          <w:p>
            <w:pPr>
              <w:jc w:val="center"/>
            </w:pPr>
            <w:r>
              <w:rPr>
                <w:sz w:val="15"/>
              </w:rPr>
              <w:t>0.201591</w:t>
            </w:r>
          </w:p>
        </w:tc>
        <w:tc>
          <w:tcPr>
            <w:tcW w:type="dxa" w:w="1152"/>
            <w:shd w:fill="EFF5F8"/>
            <w:vAlign w:val="center"/>
            <w:tcMar>
              <w:top w:w="90" w:type="dxa"/>
              <w:start w:w="100" w:type="dxa"/>
              <w:bottom w:w="90" w:type="dxa"/>
              <w:end w:w="100" w:type="dxa"/>
            </w:tcMar>
          </w:tcPr>
          <w:p>
            <w:pPr>
              <w:jc w:val="center"/>
            </w:pPr>
            <w:r>
              <w:rPr>
                <w:sz w:val="15"/>
              </w:rPr>
              <w:t>-127.70%</w:t>
            </w:r>
          </w:p>
        </w:tc>
      </w:tr>
      <w:tr>
        <w:tc>
          <w:tcPr>
            <w:tcW w:type="dxa" w:w="1800"/>
            <w:vAlign w:val="center"/>
            <w:tcMar>
              <w:top w:w="90" w:type="dxa"/>
              <w:start w:w="100" w:type="dxa"/>
              <w:bottom w:w="90" w:type="dxa"/>
              <w:end w:w="100" w:type="dxa"/>
            </w:tcMar>
          </w:tcPr>
          <w:p>
            <w:pPr>
              <w:jc w:val="center"/>
            </w:pPr>
            <w:r>
              <w:rPr>
                <w:sz w:val="15"/>
              </w:rPr>
              <w:t>Energy H=4</w:t>
            </w:r>
          </w:p>
        </w:tc>
        <w:tc>
          <w:tcPr>
            <w:tcW w:type="dxa" w:w="1656"/>
            <w:vAlign w:val="center"/>
            <w:tcMar>
              <w:top w:w="90" w:type="dxa"/>
              <w:start w:w="100" w:type="dxa"/>
              <w:bottom w:w="90" w:type="dxa"/>
              <w:end w:w="100" w:type="dxa"/>
            </w:tcMar>
          </w:tcPr>
          <w:p>
            <w:pPr>
              <w:jc w:val="center"/>
            </w:pPr>
            <w:r>
              <w:rPr>
                <w:sz w:val="15"/>
              </w:rPr>
              <w:t>ARRidge</w:t>
            </w:r>
          </w:p>
        </w:tc>
        <w:tc>
          <w:tcPr>
            <w:tcW w:type="dxa" w:w="1440"/>
            <w:vAlign w:val="center"/>
            <w:tcMar>
              <w:top w:w="90" w:type="dxa"/>
              <w:start w:w="100" w:type="dxa"/>
              <w:bottom w:w="90" w:type="dxa"/>
              <w:end w:w="100" w:type="dxa"/>
            </w:tcMar>
          </w:tcPr>
          <w:p>
            <w:pPr>
              <w:jc w:val="center"/>
            </w:pPr>
            <w:r>
              <w:rPr>
                <w:sz w:val="15"/>
              </w:rPr>
              <w:t>0.016637</w:t>
            </w:r>
          </w:p>
        </w:tc>
        <w:tc>
          <w:tcPr>
            <w:tcW w:type="dxa" w:w="1440"/>
            <w:vAlign w:val="center"/>
            <w:tcMar>
              <w:top w:w="90" w:type="dxa"/>
              <w:start w:w="100" w:type="dxa"/>
              <w:bottom w:w="90" w:type="dxa"/>
              <w:end w:w="100" w:type="dxa"/>
            </w:tcMar>
          </w:tcPr>
          <w:p>
            <w:pPr>
              <w:jc w:val="center"/>
            </w:pPr>
            <w:r>
              <w:rPr>
                <w:sz w:val="15"/>
              </w:rPr>
              <w:t>0.018649</w:t>
            </w:r>
          </w:p>
        </w:tc>
        <w:tc>
          <w:tcPr>
            <w:tcW w:type="dxa" w:w="1440"/>
            <w:vAlign w:val="center"/>
            <w:tcMar>
              <w:top w:w="90" w:type="dxa"/>
              <w:start w:w="100" w:type="dxa"/>
              <w:bottom w:w="90" w:type="dxa"/>
              <w:end w:w="100" w:type="dxa"/>
            </w:tcMar>
          </w:tcPr>
          <w:p>
            <w:pPr>
              <w:jc w:val="center"/>
            </w:pPr>
            <w:r>
              <w:rPr>
                <w:sz w:val="15"/>
              </w:rPr>
              <w:t>0.018426</w:t>
            </w:r>
          </w:p>
        </w:tc>
        <w:tc>
          <w:tcPr>
            <w:tcW w:type="dxa" w:w="1152"/>
            <w:vAlign w:val="center"/>
            <w:tcMar>
              <w:top w:w="90" w:type="dxa"/>
              <w:start w:w="100" w:type="dxa"/>
              <w:bottom w:w="90" w:type="dxa"/>
              <w:end w:w="100" w:type="dxa"/>
            </w:tcMar>
          </w:tcPr>
          <w:p>
            <w:pPr>
              <w:jc w:val="center"/>
            </w:pPr>
            <w:r>
              <w:rPr>
                <w:sz w:val="15"/>
              </w:rPr>
              <w:t>-12.10%</w:t>
            </w:r>
          </w:p>
        </w:tc>
      </w:tr>
      <w:tr>
        <w:tc>
          <w:tcPr>
            <w:tcW w:type="dxa" w:w="1800"/>
            <w:shd w:fill="EFF5F8"/>
            <w:vAlign w:val="center"/>
            <w:tcMar>
              <w:top w:w="90" w:type="dxa"/>
              <w:start w:w="100" w:type="dxa"/>
              <w:bottom w:w="90" w:type="dxa"/>
              <w:end w:w="100" w:type="dxa"/>
            </w:tcMar>
          </w:tcPr>
          <w:p>
            <w:pPr>
              <w:jc w:val="center"/>
            </w:pPr>
            <w:r>
              <w:rPr>
                <w:sz w:val="15"/>
              </w:rPr>
              <w:t>Energy H=12</w:t>
            </w:r>
          </w:p>
        </w:tc>
        <w:tc>
          <w:tcPr>
            <w:tcW w:type="dxa" w:w="1656"/>
            <w:shd w:fill="EFF5F8"/>
            <w:vAlign w:val="center"/>
            <w:tcMar>
              <w:top w:w="90" w:type="dxa"/>
              <w:start w:w="100" w:type="dxa"/>
              <w:bottom w:w="90" w:type="dxa"/>
              <w:end w:w="100" w:type="dxa"/>
            </w:tcMar>
          </w:tcPr>
          <w:p>
            <w:pPr>
              <w:jc w:val="center"/>
            </w:pPr>
            <w:r>
              <w:rPr>
                <w:sz w:val="15"/>
              </w:rPr>
              <w:t>Last</w:t>
            </w:r>
          </w:p>
        </w:tc>
        <w:tc>
          <w:tcPr>
            <w:tcW w:type="dxa" w:w="1440"/>
            <w:shd w:fill="EFF5F8"/>
            <w:vAlign w:val="center"/>
            <w:tcMar>
              <w:top w:w="90" w:type="dxa"/>
              <w:start w:w="100" w:type="dxa"/>
              <w:bottom w:w="90" w:type="dxa"/>
              <w:end w:w="100" w:type="dxa"/>
            </w:tcMar>
          </w:tcPr>
          <w:p>
            <w:pPr>
              <w:jc w:val="center"/>
            </w:pPr>
            <w:r>
              <w:rPr>
                <w:sz w:val="15"/>
              </w:rPr>
              <w:t>0.083754</w:t>
            </w:r>
          </w:p>
        </w:tc>
        <w:tc>
          <w:tcPr>
            <w:tcW w:type="dxa" w:w="1440"/>
            <w:shd w:fill="EFF5F8"/>
            <w:vAlign w:val="center"/>
            <w:tcMar>
              <w:top w:w="90" w:type="dxa"/>
              <w:start w:w="100" w:type="dxa"/>
              <w:bottom w:w="90" w:type="dxa"/>
              <w:end w:w="100" w:type="dxa"/>
            </w:tcMar>
          </w:tcPr>
          <w:p>
            <w:pPr>
              <w:jc w:val="center"/>
            </w:pPr>
            <w:r>
              <w:rPr>
                <w:sz w:val="15"/>
              </w:rPr>
              <w:t>0.092598</w:t>
            </w:r>
          </w:p>
        </w:tc>
        <w:tc>
          <w:tcPr>
            <w:tcW w:type="dxa" w:w="1440"/>
            <w:shd w:fill="EFF5F8"/>
            <w:vAlign w:val="center"/>
            <w:tcMar>
              <w:top w:w="90" w:type="dxa"/>
              <w:start w:w="100" w:type="dxa"/>
              <w:bottom w:w="90" w:type="dxa"/>
              <w:end w:w="100" w:type="dxa"/>
            </w:tcMar>
          </w:tcPr>
          <w:p>
            <w:pPr>
              <w:jc w:val="center"/>
            </w:pPr>
            <w:r>
              <w:rPr>
                <w:sz w:val="15"/>
              </w:rPr>
              <w:t>0.088690</w:t>
            </w:r>
          </w:p>
        </w:tc>
        <w:tc>
          <w:tcPr>
            <w:tcW w:type="dxa" w:w="1152"/>
            <w:shd w:fill="EFF5F8"/>
            <w:vAlign w:val="center"/>
            <w:tcMar>
              <w:top w:w="90" w:type="dxa"/>
              <w:start w:w="100" w:type="dxa"/>
              <w:bottom w:w="90" w:type="dxa"/>
              <w:end w:w="100" w:type="dxa"/>
            </w:tcMar>
          </w:tcPr>
          <w:p>
            <w:pPr>
              <w:jc w:val="center"/>
            </w:pPr>
            <w:r>
              <w:rPr>
                <w:sz w:val="15"/>
              </w:rPr>
              <w:t>-10.56%</w:t>
            </w:r>
          </w:p>
        </w:tc>
      </w:tr>
      <w:tr>
        <w:tc>
          <w:tcPr>
            <w:tcW w:type="dxa" w:w="1800"/>
            <w:vAlign w:val="center"/>
            <w:tcMar>
              <w:top w:w="90" w:type="dxa"/>
              <w:start w:w="100" w:type="dxa"/>
              <w:bottom w:w="90" w:type="dxa"/>
              <w:end w:w="100" w:type="dxa"/>
            </w:tcMar>
          </w:tcPr>
          <w:p>
            <w:pPr>
              <w:jc w:val="center"/>
            </w:pPr>
            <w:r>
              <w:rPr>
                <w:sz w:val="15"/>
              </w:rPr>
              <w:t>Energy H=24</w:t>
            </w:r>
          </w:p>
        </w:tc>
        <w:tc>
          <w:tcPr>
            <w:tcW w:type="dxa" w:w="1656"/>
            <w:vAlign w:val="center"/>
            <w:tcMar>
              <w:top w:w="90" w:type="dxa"/>
              <w:start w:w="100" w:type="dxa"/>
              <w:bottom w:w="90" w:type="dxa"/>
              <w:end w:w="100" w:type="dxa"/>
            </w:tcMar>
          </w:tcPr>
          <w:p>
            <w:pPr>
              <w:jc w:val="center"/>
            </w:pPr>
            <w:r>
              <w:rPr>
                <w:sz w:val="15"/>
              </w:rPr>
              <w:t>ARRidge</w:t>
            </w:r>
          </w:p>
        </w:tc>
        <w:tc>
          <w:tcPr>
            <w:tcW w:type="dxa" w:w="1440"/>
            <w:vAlign w:val="center"/>
            <w:tcMar>
              <w:top w:w="90" w:type="dxa"/>
              <w:start w:w="100" w:type="dxa"/>
              <w:bottom w:w="90" w:type="dxa"/>
              <w:end w:w="100" w:type="dxa"/>
            </w:tcMar>
          </w:tcPr>
          <w:p>
            <w:pPr>
              <w:jc w:val="center"/>
            </w:pPr>
            <w:r>
              <w:rPr>
                <w:sz w:val="15"/>
              </w:rPr>
              <w:t>0.162511</w:t>
            </w:r>
          </w:p>
        </w:tc>
        <w:tc>
          <w:tcPr>
            <w:tcW w:type="dxa" w:w="1440"/>
            <w:vAlign w:val="center"/>
            <w:tcMar>
              <w:top w:w="90" w:type="dxa"/>
              <w:start w:w="100" w:type="dxa"/>
              <w:bottom w:w="90" w:type="dxa"/>
              <w:end w:w="100" w:type="dxa"/>
            </w:tcMar>
          </w:tcPr>
          <w:p>
            <w:pPr>
              <w:jc w:val="center"/>
            </w:pPr>
            <w:r>
              <w:rPr>
                <w:sz w:val="15"/>
              </w:rPr>
              <w:t>0.191955</w:t>
            </w:r>
          </w:p>
        </w:tc>
        <w:tc>
          <w:tcPr>
            <w:tcW w:type="dxa" w:w="1440"/>
            <w:vAlign w:val="center"/>
            <w:tcMar>
              <w:top w:w="90" w:type="dxa"/>
              <w:start w:w="100" w:type="dxa"/>
              <w:bottom w:w="90" w:type="dxa"/>
              <w:end w:w="100" w:type="dxa"/>
            </w:tcMar>
          </w:tcPr>
          <w:p>
            <w:pPr>
              <w:jc w:val="center"/>
            </w:pPr>
            <w:r>
              <w:rPr>
                <w:sz w:val="15"/>
              </w:rPr>
              <w:t>0.178993</w:t>
            </w:r>
          </w:p>
        </w:tc>
        <w:tc>
          <w:tcPr>
            <w:tcW w:type="dxa" w:w="1152"/>
            <w:vAlign w:val="center"/>
            <w:tcMar>
              <w:top w:w="90" w:type="dxa"/>
              <w:start w:w="100" w:type="dxa"/>
              <w:bottom w:w="90" w:type="dxa"/>
              <w:end w:w="100" w:type="dxa"/>
            </w:tcMar>
          </w:tcPr>
          <w:p>
            <w:pPr>
              <w:jc w:val="center"/>
            </w:pPr>
            <w:r>
              <w:rPr>
                <w:sz w:val="15"/>
              </w:rPr>
              <w:t>-18.12%</w:t>
            </w:r>
          </w:p>
        </w:tc>
      </w:tr>
      <w:tr>
        <w:tc>
          <w:tcPr>
            <w:tcW w:type="dxa" w:w="1800"/>
            <w:shd w:fill="EFF5F8"/>
            <w:vAlign w:val="center"/>
            <w:tcMar>
              <w:top w:w="90" w:type="dxa"/>
              <w:start w:w="100" w:type="dxa"/>
              <w:bottom w:w="90" w:type="dxa"/>
              <w:end w:w="100" w:type="dxa"/>
            </w:tcMar>
          </w:tcPr>
          <w:p>
            <w:pPr>
              <w:jc w:val="center"/>
            </w:pPr>
            <w:r>
              <w:rPr>
                <w:sz w:val="15"/>
              </w:rPr>
              <w:t>Traffic H=3</w:t>
            </w:r>
          </w:p>
        </w:tc>
        <w:tc>
          <w:tcPr>
            <w:tcW w:type="dxa" w:w="1656"/>
            <w:shd w:fill="EFF5F8"/>
            <w:vAlign w:val="center"/>
            <w:tcMar>
              <w:top w:w="90" w:type="dxa"/>
              <w:start w:w="100" w:type="dxa"/>
              <w:bottom w:w="90" w:type="dxa"/>
              <w:end w:w="100" w:type="dxa"/>
            </w:tcMar>
          </w:tcPr>
          <w:p>
            <w:pPr>
              <w:jc w:val="center"/>
            </w:pPr>
            <w:r>
              <w:rPr>
                <w:sz w:val="15"/>
              </w:rPr>
              <w:t>PatchTST</w:t>
            </w:r>
          </w:p>
        </w:tc>
        <w:tc>
          <w:tcPr>
            <w:tcW w:type="dxa" w:w="1440"/>
            <w:shd w:fill="EFF5F8"/>
            <w:vAlign w:val="center"/>
            <w:tcMar>
              <w:top w:w="90" w:type="dxa"/>
              <w:start w:w="100" w:type="dxa"/>
              <w:bottom w:w="90" w:type="dxa"/>
              <w:end w:w="100" w:type="dxa"/>
            </w:tcMar>
          </w:tcPr>
          <w:p>
            <w:pPr>
              <w:jc w:val="center"/>
            </w:pPr>
            <w:r>
              <w:rPr>
                <w:sz w:val="15"/>
              </w:rPr>
              <w:t>0.079178</w:t>
            </w:r>
          </w:p>
        </w:tc>
        <w:tc>
          <w:tcPr>
            <w:tcW w:type="dxa" w:w="1440"/>
            <w:shd w:fill="EFF5F8"/>
            <w:vAlign w:val="center"/>
            <w:tcMar>
              <w:top w:w="90" w:type="dxa"/>
              <w:start w:w="100" w:type="dxa"/>
              <w:bottom w:w="90" w:type="dxa"/>
              <w:end w:w="100" w:type="dxa"/>
            </w:tcMar>
          </w:tcPr>
          <w:p>
            <w:pPr>
              <w:jc w:val="center"/>
            </w:pPr>
            <w:r>
              <w:rPr>
                <w:sz w:val="15"/>
              </w:rPr>
              <w:t>0.080180</w:t>
            </w:r>
          </w:p>
        </w:tc>
        <w:tc>
          <w:tcPr>
            <w:tcW w:type="dxa" w:w="1440"/>
            <w:shd w:fill="EFF5F8"/>
            <w:vAlign w:val="center"/>
            <w:tcMar>
              <w:top w:w="90" w:type="dxa"/>
              <w:start w:w="100" w:type="dxa"/>
              <w:bottom w:w="90" w:type="dxa"/>
              <w:end w:w="100" w:type="dxa"/>
            </w:tcMar>
          </w:tcPr>
          <w:p>
            <w:pPr>
              <w:jc w:val="center"/>
            </w:pPr>
            <w:r>
              <w:rPr>
                <w:sz w:val="15"/>
              </w:rPr>
              <w:t>0.084261</w:t>
            </w:r>
          </w:p>
        </w:tc>
        <w:tc>
          <w:tcPr>
            <w:tcW w:type="dxa" w:w="1152"/>
            <w:shd w:fill="EFF5F8"/>
            <w:vAlign w:val="center"/>
            <w:tcMar>
              <w:top w:w="90" w:type="dxa"/>
              <w:start w:w="100" w:type="dxa"/>
              <w:bottom w:w="90" w:type="dxa"/>
              <w:end w:w="100" w:type="dxa"/>
            </w:tcMar>
          </w:tcPr>
          <w:p>
            <w:pPr>
              <w:jc w:val="center"/>
            </w:pPr>
            <w:r>
              <w:rPr>
                <w:sz w:val="15"/>
              </w:rPr>
              <w:t>-1.27%</w:t>
            </w:r>
          </w:p>
        </w:tc>
      </w:tr>
      <w:tr>
        <w:tc>
          <w:tcPr>
            <w:tcW w:type="dxa" w:w="1800"/>
            <w:vAlign w:val="center"/>
            <w:tcMar>
              <w:top w:w="90" w:type="dxa"/>
              <w:start w:w="100" w:type="dxa"/>
              <w:bottom w:w="90" w:type="dxa"/>
              <w:end w:w="100" w:type="dxa"/>
            </w:tcMar>
          </w:tcPr>
          <w:p>
            <w:pPr>
              <w:jc w:val="center"/>
            </w:pPr>
            <w:r>
              <w:rPr>
                <w:sz w:val="15"/>
              </w:rPr>
              <w:t>Traffic H=6</w:t>
            </w:r>
          </w:p>
        </w:tc>
        <w:tc>
          <w:tcPr>
            <w:tcW w:type="dxa" w:w="1656"/>
            <w:vAlign w:val="center"/>
            <w:tcMar>
              <w:top w:w="90" w:type="dxa"/>
              <w:start w:w="100" w:type="dxa"/>
              <w:bottom w:w="90" w:type="dxa"/>
              <w:end w:w="100" w:type="dxa"/>
            </w:tcMar>
          </w:tcPr>
          <w:p>
            <w:pPr>
              <w:jc w:val="center"/>
            </w:pPr>
            <w:r>
              <w:rPr>
                <w:sz w:val="15"/>
              </w:rPr>
              <w:t>DLinear-M</w:t>
            </w:r>
          </w:p>
        </w:tc>
        <w:tc>
          <w:tcPr>
            <w:tcW w:type="dxa" w:w="1440"/>
            <w:vAlign w:val="center"/>
            <w:tcMar>
              <w:top w:w="90" w:type="dxa"/>
              <w:start w:w="100" w:type="dxa"/>
              <w:bottom w:w="90" w:type="dxa"/>
              <w:end w:w="100" w:type="dxa"/>
            </w:tcMar>
          </w:tcPr>
          <w:p>
            <w:pPr>
              <w:jc w:val="center"/>
            </w:pPr>
            <w:r>
              <w:rPr>
                <w:sz w:val="15"/>
              </w:rPr>
              <w:t>0.092255</w:t>
            </w:r>
          </w:p>
        </w:tc>
        <w:tc>
          <w:tcPr>
            <w:tcW w:type="dxa" w:w="1440"/>
            <w:vAlign w:val="center"/>
            <w:tcMar>
              <w:top w:w="90" w:type="dxa"/>
              <w:start w:w="100" w:type="dxa"/>
              <w:bottom w:w="90" w:type="dxa"/>
              <w:end w:w="100" w:type="dxa"/>
            </w:tcMar>
          </w:tcPr>
          <w:p>
            <w:pPr>
              <w:jc w:val="center"/>
            </w:pPr>
            <w:r>
              <w:rPr>
                <w:sz w:val="15"/>
              </w:rPr>
              <w:t>0.085535</w:t>
            </w:r>
          </w:p>
        </w:tc>
        <w:tc>
          <w:tcPr>
            <w:tcW w:type="dxa" w:w="1440"/>
            <w:vAlign w:val="center"/>
            <w:tcMar>
              <w:top w:w="90" w:type="dxa"/>
              <w:start w:w="100" w:type="dxa"/>
              <w:bottom w:w="90" w:type="dxa"/>
              <w:end w:w="100" w:type="dxa"/>
            </w:tcMar>
          </w:tcPr>
          <w:p>
            <w:pPr>
              <w:jc w:val="center"/>
            </w:pPr>
            <w:r>
              <w:rPr>
                <w:sz w:val="15"/>
              </w:rPr>
              <w:t>0.094861</w:t>
            </w:r>
          </w:p>
        </w:tc>
        <w:tc>
          <w:tcPr>
            <w:tcW w:type="dxa" w:w="1152"/>
            <w:vAlign w:val="center"/>
            <w:tcMar>
              <w:top w:w="90" w:type="dxa"/>
              <w:start w:w="100" w:type="dxa"/>
              <w:bottom w:w="90" w:type="dxa"/>
              <w:end w:w="100" w:type="dxa"/>
            </w:tcMar>
          </w:tcPr>
          <w:p>
            <w:pPr>
              <w:jc w:val="center"/>
            </w:pPr>
            <w:r>
              <w:rPr>
                <w:sz w:val="15"/>
              </w:rPr>
              <w:t>+7.28%</w:t>
            </w:r>
          </w:p>
        </w:tc>
      </w:tr>
      <w:tr>
        <w:tc>
          <w:tcPr>
            <w:tcW w:type="dxa" w:w="1800"/>
            <w:shd w:fill="EFF5F8"/>
            <w:vAlign w:val="center"/>
            <w:tcMar>
              <w:top w:w="90" w:type="dxa"/>
              <w:start w:w="100" w:type="dxa"/>
              <w:bottom w:w="90" w:type="dxa"/>
              <w:end w:w="100" w:type="dxa"/>
            </w:tcMar>
          </w:tcPr>
          <w:p>
            <w:pPr>
              <w:jc w:val="center"/>
            </w:pPr>
            <w:r>
              <w:rPr>
                <w:sz w:val="15"/>
              </w:rPr>
              <w:t>Traffic H=12</w:t>
            </w:r>
          </w:p>
        </w:tc>
        <w:tc>
          <w:tcPr>
            <w:tcW w:type="dxa" w:w="1656"/>
            <w:shd w:fill="EFF5F8"/>
            <w:vAlign w:val="center"/>
            <w:tcMar>
              <w:top w:w="90" w:type="dxa"/>
              <w:start w:w="100" w:type="dxa"/>
              <w:bottom w:w="90" w:type="dxa"/>
              <w:end w:w="100" w:type="dxa"/>
            </w:tcMar>
          </w:tcPr>
          <w:p>
            <w:pPr>
              <w:jc w:val="center"/>
            </w:pPr>
            <w:r>
              <w:rPr>
                <w:sz w:val="15"/>
              </w:rPr>
              <w:t>DLinear-M</w:t>
            </w:r>
          </w:p>
        </w:tc>
        <w:tc>
          <w:tcPr>
            <w:tcW w:type="dxa" w:w="1440"/>
            <w:shd w:fill="EFF5F8"/>
            <w:vAlign w:val="center"/>
            <w:tcMar>
              <w:top w:w="90" w:type="dxa"/>
              <w:start w:w="100" w:type="dxa"/>
              <w:bottom w:w="90" w:type="dxa"/>
              <w:end w:w="100" w:type="dxa"/>
            </w:tcMar>
          </w:tcPr>
          <w:p>
            <w:pPr>
              <w:jc w:val="center"/>
            </w:pPr>
            <w:r>
              <w:rPr>
                <w:sz w:val="15"/>
              </w:rPr>
              <w:t>0.102948</w:t>
            </w:r>
          </w:p>
        </w:tc>
        <w:tc>
          <w:tcPr>
            <w:tcW w:type="dxa" w:w="1440"/>
            <w:shd w:fill="EFF5F8"/>
            <w:vAlign w:val="center"/>
            <w:tcMar>
              <w:top w:w="90" w:type="dxa"/>
              <w:start w:w="100" w:type="dxa"/>
              <w:bottom w:w="90" w:type="dxa"/>
              <w:end w:w="100" w:type="dxa"/>
            </w:tcMar>
          </w:tcPr>
          <w:p>
            <w:pPr>
              <w:jc w:val="center"/>
            </w:pPr>
            <w:r>
              <w:rPr>
                <w:sz w:val="15"/>
              </w:rPr>
              <w:t>0.098000</w:t>
            </w:r>
          </w:p>
        </w:tc>
        <w:tc>
          <w:tcPr>
            <w:tcW w:type="dxa" w:w="1440"/>
            <w:shd w:fill="EFF5F8"/>
            <w:vAlign w:val="center"/>
            <w:tcMar>
              <w:top w:w="90" w:type="dxa"/>
              <w:start w:w="100" w:type="dxa"/>
              <w:bottom w:w="90" w:type="dxa"/>
              <w:end w:w="100" w:type="dxa"/>
            </w:tcMar>
          </w:tcPr>
          <w:p>
            <w:pPr>
              <w:jc w:val="center"/>
            </w:pPr>
            <w:r>
              <w:rPr>
                <w:sz w:val="15"/>
              </w:rPr>
              <w:t>0.108482</w:t>
            </w:r>
          </w:p>
        </w:tc>
        <w:tc>
          <w:tcPr>
            <w:tcW w:type="dxa" w:w="1152"/>
            <w:shd w:fill="EFF5F8"/>
            <w:vAlign w:val="center"/>
            <w:tcMar>
              <w:top w:w="90" w:type="dxa"/>
              <w:start w:w="100" w:type="dxa"/>
              <w:bottom w:w="90" w:type="dxa"/>
              <w:end w:w="100" w:type="dxa"/>
            </w:tcMar>
          </w:tcPr>
          <w:p>
            <w:pPr>
              <w:jc w:val="center"/>
            </w:pPr>
            <w:r>
              <w:rPr>
                <w:sz w:val="15"/>
              </w:rPr>
              <w:t>+4.81%</w:t>
            </w:r>
          </w:p>
        </w:tc>
      </w:tr>
    </w:tbl>
    <w:p>
      <w:pPr>
        <w:spacing w:after="40"/>
      </w:pPr>
    </w:p>
    <w:p>
      <w:pPr>
        <w:spacing w:line="348" w:lineRule="auto" w:after="100"/>
        <w:ind w:firstLine="480"/>
      </w:pPr>
      <w:r>
        <w:t>只有 Traffic H=6 和 H=12 的对齐语义路径超过最强数值基线，改善 7.28% 和 4.81%。Traffic H=3 的对齐文本虽优于置换文本，但仍比 PatchTST 数值结果高 1.27%。其余九项任务的语义融合均退化，Economy H=12 的退化达到 127.70%。因此，对齐证据与最终精度必须同时报告。</w:t>
      </w:r>
    </w:p>
    <w:p>
      <w:pPr>
        <w:keepNext/>
        <w:jc w:val="center"/>
      </w:pPr>
      <w:r>
        <w:drawing>
          <wp:inline xmlns:a="http://schemas.openxmlformats.org/drawingml/2006/main" xmlns:pic="http://schemas.openxmlformats.org/drawingml/2006/picture">
            <wp:extent cx="6035040" cy="3503945"/>
            <wp:docPr id="9" name="Picture 9" descr="图 3 开发性回测语义融合相对最强数值基线的误差比值"/>
            <wp:cNvGraphicFramePr>
              <a:graphicFrameLocks noChangeAspect="1"/>
            </wp:cNvGraphicFramePr>
            <a:graphic>
              <a:graphicData uri="http://schemas.openxmlformats.org/drawingml/2006/picture">
                <pic:pic>
                  <pic:nvPicPr>
                    <pic:cNvPr id="0" name="fig03_development_semantic_gain.png"/>
                    <pic:cNvPicPr/>
                  </pic:nvPicPr>
                  <pic:blipFill>
                    <a:blip r:embed="rId19"/>
                    <a:stretch>
                      <a:fillRect/>
                    </a:stretch>
                  </pic:blipFill>
                  <pic:spPr>
                    <a:xfrm>
                      <a:off x="0" y="0"/>
                      <a:ext cx="6035040" cy="3503945"/>
                    </a:xfrm>
                    <a:prstGeom prst="rect"/>
                  </pic:spPr>
                </pic:pic>
              </a:graphicData>
            </a:graphic>
          </wp:inline>
        </w:drawing>
      </w:r>
    </w:p>
    <w:p>
      <w:pPr>
        <w:pStyle w:val="Caption"/>
        <w:keepNext w:val="0"/>
        <w:jc w:val="center"/>
      </w:pPr>
      <w:r>
        <w:t>图 3 开发性回测语义融合相对最强数值基线的误差比值</w:t>
      </w:r>
    </w:p>
    <w:p>
      <w:pPr>
        <w:pStyle w:val="Heading2"/>
        <w:keepNext/>
      </w:pPr>
      <w:r>
        <w:t>6.3 文本置换反事实</w:t>
      </w:r>
    </w:p>
    <w:p>
      <w:pPr>
        <w:spacing w:line="348" w:lineRule="auto" w:after="100"/>
        <w:ind w:firstLine="480"/>
      </w:pPr>
      <w:r>
        <w:t>正确对齐文本只在 3/12 项任务优于置换文本，且三项全部来自 Traffic。跨领域结果说明，文本特征能够被模型使用不等于文本包含与目标有关的时序信息。若缺少置换对照，Climate、Economy 和 Energy 中的高维文本校正可能被误写成有效融合。</w:t>
      </w:r>
    </w:p>
    <w:p>
      <w:pPr>
        <w:keepNext/>
        <w:jc w:val="center"/>
      </w:pPr>
      <w:r>
        <w:drawing>
          <wp:inline xmlns:a="http://schemas.openxmlformats.org/drawingml/2006/main" xmlns:pic="http://schemas.openxmlformats.org/drawingml/2006/picture">
            <wp:extent cx="6035040" cy="3769096"/>
            <wp:docPr id="10" name="Picture 10" descr="图 4 正确时点对齐相对随机置换文本的改善率"/>
            <wp:cNvGraphicFramePr>
              <a:graphicFrameLocks noChangeAspect="1"/>
            </wp:cNvGraphicFramePr>
            <a:graphic>
              <a:graphicData uri="http://schemas.openxmlformats.org/drawingml/2006/picture">
                <pic:pic>
                  <pic:nvPicPr>
                    <pic:cNvPr id="0" name="fig04_alignment_vs_permutation.png"/>
                    <pic:cNvPicPr/>
                  </pic:nvPicPr>
                  <pic:blipFill>
                    <a:blip r:embed="rId20"/>
                    <a:stretch>
                      <a:fillRect/>
                    </a:stretch>
                  </pic:blipFill>
                  <pic:spPr>
                    <a:xfrm>
                      <a:off x="0" y="0"/>
                      <a:ext cx="6035040" cy="3769096"/>
                    </a:xfrm>
                    <a:prstGeom prst="rect"/>
                  </pic:spPr>
                </pic:pic>
              </a:graphicData>
            </a:graphic>
          </wp:inline>
        </w:drawing>
      </w:r>
    </w:p>
    <w:p>
      <w:pPr>
        <w:pStyle w:val="Caption"/>
        <w:keepNext w:val="0"/>
        <w:jc w:val="center"/>
      </w:pPr>
      <w:r>
        <w:t>图 4 正确时点对齐相对随机置换文本的改善率</w:t>
      </w:r>
    </w:p>
    <w:p>
      <w:pPr>
        <w:pStyle w:val="Heading1"/>
        <w:keepNext/>
      </w:pPr>
      <w:r>
        <w:t>7 冻结确认与外部基准</w:t>
      </w:r>
    </w:p>
    <w:p>
      <w:pPr>
        <w:pStyle w:val="Heading2"/>
        <w:keepNext/>
      </w:pPr>
      <w:r>
        <w:t>7.1 确认协议</w:t>
      </w:r>
    </w:p>
    <w:p>
      <w:pPr>
        <w:spacing w:line="348" w:lineRule="auto" w:after="100"/>
        <w:ind w:firstLine="480"/>
      </w:pPr>
      <w:r>
        <w:t>在查看 Agriculture 和 Security 测试结果前，冻结领域、窗口、跨度、文本截止条件、置换次数、选择门槛、分歧回退和 Bootstrap 方式。成功标准规定：至少一个未见任务的语义路径必须通过全部验证门槛，并在测试期不劣于数值路径。结果产生后未更换领域或修改门槛。</w:t>
      </w:r>
    </w:p>
    <w:p>
      <w:pPr>
        <w:pStyle w:val="Heading2"/>
        <w:keepNext/>
      </w:pPr>
      <w:r>
        <w:t>7.2 确认结果</w:t>
      </w:r>
    </w:p>
    <w:p>
      <w:pPr>
        <w:pStyle w:val="Caption"/>
        <w:keepNext w:val="0"/>
        <w:jc w:val="center"/>
      </w:pPr>
      <w:r>
        <w:t>表 4 冻结确认实验与安全回退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rPr>
        <w:tc>
          <w:tcPr>
            <w:tcW w:type="dxa" w:w="2088"/>
            <w:shd w:fill="234E70"/>
            <w:vAlign w:val="center"/>
            <w:tcMar>
              <w:top w:w="90" w:type="dxa"/>
              <w:start w:w="100" w:type="dxa"/>
              <w:bottom w:w="90" w:type="dxa"/>
              <w:end w:w="100" w:type="dxa"/>
            </w:tcMar>
          </w:tcPr>
          <w:p>
            <w:pPr>
              <w:jc w:val="center"/>
            </w:pPr>
            <w:r>
              <w:rPr>
                <w:b/>
                <w:color w:val="FFFFFF"/>
                <w:sz w:val="15"/>
              </w:rPr>
              <w:t>任务</w:t>
            </w:r>
          </w:p>
        </w:tc>
        <w:tc>
          <w:tcPr>
            <w:tcW w:type="dxa" w:w="1080"/>
            <w:shd w:fill="234E70"/>
            <w:vAlign w:val="center"/>
            <w:tcMar>
              <w:top w:w="90" w:type="dxa"/>
              <w:start w:w="100" w:type="dxa"/>
              <w:bottom w:w="90" w:type="dxa"/>
              <w:end w:w="100" w:type="dxa"/>
            </w:tcMar>
          </w:tcPr>
          <w:p>
            <w:pPr>
              <w:jc w:val="center"/>
            </w:pPr>
            <w:r>
              <w:rPr>
                <w:b/>
                <w:color w:val="FFFFFF"/>
                <w:sz w:val="15"/>
              </w:rPr>
              <w:t>选择</w:t>
            </w:r>
          </w:p>
        </w:tc>
        <w:tc>
          <w:tcPr>
            <w:tcW w:type="dxa" w:w="1512"/>
            <w:shd w:fill="234E70"/>
            <w:vAlign w:val="center"/>
            <w:tcMar>
              <w:top w:w="90" w:type="dxa"/>
              <w:start w:w="100" w:type="dxa"/>
              <w:bottom w:w="90" w:type="dxa"/>
              <w:end w:w="100" w:type="dxa"/>
            </w:tcMar>
          </w:tcPr>
          <w:p>
            <w:pPr>
              <w:jc w:val="center"/>
            </w:pPr>
            <w:r>
              <w:rPr>
                <w:b/>
                <w:color w:val="FFFFFF"/>
                <w:sz w:val="15"/>
              </w:rPr>
              <w:t>数值MSE</w:t>
            </w:r>
          </w:p>
        </w:tc>
        <w:tc>
          <w:tcPr>
            <w:tcW w:type="dxa" w:w="1512"/>
            <w:shd w:fill="234E70"/>
            <w:vAlign w:val="center"/>
            <w:tcMar>
              <w:top w:w="90" w:type="dxa"/>
              <w:start w:w="100" w:type="dxa"/>
              <w:bottom w:w="90" w:type="dxa"/>
              <w:end w:w="100" w:type="dxa"/>
            </w:tcMar>
          </w:tcPr>
          <w:p>
            <w:pPr>
              <w:jc w:val="center"/>
            </w:pPr>
            <w:r>
              <w:rPr>
                <w:b/>
                <w:color w:val="FFFFFF"/>
                <w:sz w:val="15"/>
              </w:rPr>
              <w:t>语义MSE</w:t>
            </w:r>
          </w:p>
        </w:tc>
        <w:tc>
          <w:tcPr>
            <w:tcW w:type="dxa" w:w="1728"/>
            <w:shd w:fill="234E70"/>
            <w:vAlign w:val="center"/>
            <w:tcMar>
              <w:top w:w="90" w:type="dxa"/>
              <w:start w:w="100" w:type="dxa"/>
              <w:bottom w:w="90" w:type="dxa"/>
              <w:end w:w="100" w:type="dxa"/>
            </w:tcMar>
          </w:tcPr>
          <w:p>
            <w:pPr>
              <w:jc w:val="center"/>
            </w:pPr>
            <w:r>
              <w:rPr>
                <w:b/>
                <w:color w:val="FFFFFF"/>
                <w:sz w:val="15"/>
              </w:rPr>
              <w:t>频率语义MSE</w:t>
            </w:r>
          </w:p>
        </w:tc>
        <w:tc>
          <w:tcPr>
            <w:tcW w:type="dxa" w:w="1440"/>
            <w:shd w:fill="234E70"/>
            <w:vAlign w:val="center"/>
            <w:tcMar>
              <w:top w:w="90" w:type="dxa"/>
              <w:start w:w="100" w:type="dxa"/>
              <w:bottom w:w="90" w:type="dxa"/>
              <w:end w:w="100" w:type="dxa"/>
            </w:tcMar>
          </w:tcPr>
          <w:p>
            <w:pPr>
              <w:jc w:val="center"/>
            </w:pPr>
            <w:r>
              <w:rPr>
                <w:b/>
                <w:color w:val="FFFFFF"/>
                <w:sz w:val="15"/>
              </w:rPr>
              <w:t>避免损失</w:t>
            </w:r>
          </w:p>
        </w:tc>
      </w:tr>
      <w:tr>
        <w:tc>
          <w:tcPr>
            <w:tcW w:type="dxa" w:w="2088"/>
            <w:vAlign w:val="center"/>
            <w:tcMar>
              <w:top w:w="90" w:type="dxa"/>
              <w:start w:w="100" w:type="dxa"/>
              <w:bottom w:w="90" w:type="dxa"/>
              <w:end w:w="100" w:type="dxa"/>
            </w:tcMar>
          </w:tcPr>
          <w:p>
            <w:pPr>
              <w:jc w:val="left"/>
            </w:pPr>
            <w:r>
              <w:rPr>
                <w:sz w:val="15"/>
              </w:rPr>
              <w:t>Agriculture H=3</w:t>
            </w:r>
          </w:p>
        </w:tc>
        <w:tc>
          <w:tcPr>
            <w:tcW w:type="dxa" w:w="1080"/>
            <w:vAlign w:val="center"/>
            <w:tcMar>
              <w:top w:w="90" w:type="dxa"/>
              <w:start w:w="100" w:type="dxa"/>
              <w:bottom w:w="90" w:type="dxa"/>
              <w:end w:w="100" w:type="dxa"/>
            </w:tcMar>
          </w:tcPr>
          <w:p>
            <w:pPr>
              <w:jc w:val="center"/>
            </w:pPr>
            <w:r>
              <w:rPr>
                <w:sz w:val="15"/>
              </w:rPr>
              <w:t>numeric</w:t>
            </w:r>
          </w:p>
        </w:tc>
        <w:tc>
          <w:tcPr>
            <w:tcW w:type="dxa" w:w="1512"/>
            <w:vAlign w:val="center"/>
            <w:tcMar>
              <w:top w:w="90" w:type="dxa"/>
              <w:start w:w="100" w:type="dxa"/>
              <w:bottom w:w="90" w:type="dxa"/>
              <w:end w:w="100" w:type="dxa"/>
            </w:tcMar>
          </w:tcPr>
          <w:p>
            <w:pPr>
              <w:jc w:val="center"/>
            </w:pPr>
            <w:r>
              <w:rPr>
                <w:sz w:val="15"/>
              </w:rPr>
              <w:t>0.056236</w:t>
            </w:r>
          </w:p>
        </w:tc>
        <w:tc>
          <w:tcPr>
            <w:tcW w:type="dxa" w:w="1512"/>
            <w:vAlign w:val="center"/>
            <w:tcMar>
              <w:top w:w="90" w:type="dxa"/>
              <w:start w:w="100" w:type="dxa"/>
              <w:bottom w:w="90" w:type="dxa"/>
              <w:end w:w="100" w:type="dxa"/>
            </w:tcMar>
          </w:tcPr>
          <w:p>
            <w:pPr>
              <w:jc w:val="center"/>
            </w:pPr>
            <w:r>
              <w:rPr>
                <w:sz w:val="15"/>
              </w:rPr>
              <w:t>0.111035</w:t>
            </w:r>
          </w:p>
        </w:tc>
        <w:tc>
          <w:tcPr>
            <w:tcW w:type="dxa" w:w="1728"/>
            <w:vAlign w:val="center"/>
            <w:tcMar>
              <w:top w:w="90" w:type="dxa"/>
              <w:start w:w="100" w:type="dxa"/>
              <w:bottom w:w="90" w:type="dxa"/>
              <w:end w:w="100" w:type="dxa"/>
            </w:tcMar>
          </w:tcPr>
          <w:p>
            <w:pPr>
              <w:jc w:val="center"/>
            </w:pPr>
            <w:r>
              <w:rPr>
                <w:sz w:val="15"/>
              </w:rPr>
              <w:t>0.272954</w:t>
            </w:r>
          </w:p>
        </w:tc>
        <w:tc>
          <w:tcPr>
            <w:tcW w:type="dxa" w:w="1440"/>
            <w:vAlign w:val="center"/>
            <w:tcMar>
              <w:top w:w="90" w:type="dxa"/>
              <w:start w:w="100" w:type="dxa"/>
              <w:bottom w:w="90" w:type="dxa"/>
              <w:end w:w="100" w:type="dxa"/>
            </w:tcMar>
          </w:tcPr>
          <w:p>
            <w:pPr>
              <w:jc w:val="center"/>
            </w:pPr>
            <w:r>
              <w:rPr>
                <w:sz w:val="15"/>
              </w:rPr>
              <w:t>49.35%</w:t>
            </w:r>
          </w:p>
        </w:tc>
      </w:tr>
      <w:tr>
        <w:tc>
          <w:tcPr>
            <w:tcW w:type="dxa" w:w="2088"/>
            <w:shd w:fill="EFF5F8"/>
            <w:vAlign w:val="center"/>
            <w:tcMar>
              <w:top w:w="90" w:type="dxa"/>
              <w:start w:w="100" w:type="dxa"/>
              <w:bottom w:w="90" w:type="dxa"/>
              <w:end w:w="100" w:type="dxa"/>
            </w:tcMar>
          </w:tcPr>
          <w:p>
            <w:pPr>
              <w:jc w:val="left"/>
            </w:pPr>
            <w:r>
              <w:rPr>
                <w:sz w:val="15"/>
              </w:rPr>
              <w:t>Agriculture H=6</w:t>
            </w:r>
          </w:p>
        </w:tc>
        <w:tc>
          <w:tcPr>
            <w:tcW w:type="dxa" w:w="1080"/>
            <w:shd w:fill="EFF5F8"/>
            <w:vAlign w:val="center"/>
            <w:tcMar>
              <w:top w:w="90" w:type="dxa"/>
              <w:start w:w="100" w:type="dxa"/>
              <w:bottom w:w="90" w:type="dxa"/>
              <w:end w:w="100" w:type="dxa"/>
            </w:tcMar>
          </w:tcPr>
          <w:p>
            <w:pPr>
              <w:jc w:val="center"/>
            </w:pPr>
            <w:r>
              <w:rPr>
                <w:sz w:val="15"/>
              </w:rPr>
              <w:t>numeric</w:t>
            </w:r>
          </w:p>
        </w:tc>
        <w:tc>
          <w:tcPr>
            <w:tcW w:type="dxa" w:w="1512"/>
            <w:shd w:fill="EFF5F8"/>
            <w:vAlign w:val="center"/>
            <w:tcMar>
              <w:top w:w="90" w:type="dxa"/>
              <w:start w:w="100" w:type="dxa"/>
              <w:bottom w:w="90" w:type="dxa"/>
              <w:end w:w="100" w:type="dxa"/>
            </w:tcMar>
          </w:tcPr>
          <w:p>
            <w:pPr>
              <w:jc w:val="center"/>
            </w:pPr>
            <w:r>
              <w:rPr>
                <w:sz w:val="15"/>
              </w:rPr>
              <w:t>0.120041</w:t>
            </w:r>
          </w:p>
        </w:tc>
        <w:tc>
          <w:tcPr>
            <w:tcW w:type="dxa" w:w="1512"/>
            <w:shd w:fill="EFF5F8"/>
            <w:vAlign w:val="center"/>
            <w:tcMar>
              <w:top w:w="90" w:type="dxa"/>
              <w:start w:w="100" w:type="dxa"/>
              <w:bottom w:w="90" w:type="dxa"/>
              <w:end w:w="100" w:type="dxa"/>
            </w:tcMar>
          </w:tcPr>
          <w:p>
            <w:pPr>
              <w:jc w:val="center"/>
            </w:pPr>
            <w:r>
              <w:rPr>
                <w:sz w:val="15"/>
              </w:rPr>
              <w:t>0.209079</w:t>
            </w:r>
          </w:p>
        </w:tc>
        <w:tc>
          <w:tcPr>
            <w:tcW w:type="dxa" w:w="1728"/>
            <w:shd w:fill="EFF5F8"/>
            <w:vAlign w:val="center"/>
            <w:tcMar>
              <w:top w:w="90" w:type="dxa"/>
              <w:start w:w="100" w:type="dxa"/>
              <w:bottom w:w="90" w:type="dxa"/>
              <w:end w:w="100" w:type="dxa"/>
            </w:tcMar>
          </w:tcPr>
          <w:p>
            <w:pPr>
              <w:jc w:val="center"/>
            </w:pPr>
            <w:r>
              <w:rPr>
                <w:sz w:val="15"/>
              </w:rPr>
              <w:t>0.326244</w:t>
            </w:r>
          </w:p>
        </w:tc>
        <w:tc>
          <w:tcPr>
            <w:tcW w:type="dxa" w:w="1440"/>
            <w:shd w:fill="EFF5F8"/>
            <w:vAlign w:val="center"/>
            <w:tcMar>
              <w:top w:w="90" w:type="dxa"/>
              <w:start w:w="100" w:type="dxa"/>
              <w:bottom w:w="90" w:type="dxa"/>
              <w:end w:w="100" w:type="dxa"/>
            </w:tcMar>
          </w:tcPr>
          <w:p>
            <w:pPr>
              <w:jc w:val="center"/>
            </w:pPr>
            <w:r>
              <w:rPr>
                <w:sz w:val="15"/>
              </w:rPr>
              <w:t>42.59%</w:t>
            </w:r>
          </w:p>
        </w:tc>
      </w:tr>
      <w:tr>
        <w:tc>
          <w:tcPr>
            <w:tcW w:type="dxa" w:w="2088"/>
            <w:vAlign w:val="center"/>
            <w:tcMar>
              <w:top w:w="90" w:type="dxa"/>
              <w:start w:w="100" w:type="dxa"/>
              <w:bottom w:w="90" w:type="dxa"/>
              <w:end w:w="100" w:type="dxa"/>
            </w:tcMar>
          </w:tcPr>
          <w:p>
            <w:pPr>
              <w:jc w:val="left"/>
            </w:pPr>
            <w:r>
              <w:rPr>
                <w:sz w:val="15"/>
              </w:rPr>
              <w:t>Agriculture H=12</w:t>
            </w:r>
          </w:p>
        </w:tc>
        <w:tc>
          <w:tcPr>
            <w:tcW w:type="dxa" w:w="1080"/>
            <w:vAlign w:val="center"/>
            <w:tcMar>
              <w:top w:w="90" w:type="dxa"/>
              <w:start w:w="100" w:type="dxa"/>
              <w:bottom w:w="90" w:type="dxa"/>
              <w:end w:w="100" w:type="dxa"/>
            </w:tcMar>
          </w:tcPr>
          <w:p>
            <w:pPr>
              <w:jc w:val="center"/>
            </w:pPr>
            <w:r>
              <w:rPr>
                <w:sz w:val="15"/>
              </w:rPr>
              <w:t>numeric</w:t>
            </w:r>
          </w:p>
        </w:tc>
        <w:tc>
          <w:tcPr>
            <w:tcW w:type="dxa" w:w="1512"/>
            <w:vAlign w:val="center"/>
            <w:tcMar>
              <w:top w:w="90" w:type="dxa"/>
              <w:start w:w="100" w:type="dxa"/>
              <w:bottom w:w="90" w:type="dxa"/>
              <w:end w:w="100" w:type="dxa"/>
            </w:tcMar>
          </w:tcPr>
          <w:p>
            <w:pPr>
              <w:jc w:val="center"/>
            </w:pPr>
            <w:r>
              <w:rPr>
                <w:sz w:val="15"/>
              </w:rPr>
              <w:t>0.301556</w:t>
            </w:r>
          </w:p>
        </w:tc>
        <w:tc>
          <w:tcPr>
            <w:tcW w:type="dxa" w:w="1512"/>
            <w:vAlign w:val="center"/>
            <w:tcMar>
              <w:top w:w="90" w:type="dxa"/>
              <w:start w:w="100" w:type="dxa"/>
              <w:bottom w:w="90" w:type="dxa"/>
              <w:end w:w="100" w:type="dxa"/>
            </w:tcMar>
          </w:tcPr>
          <w:p>
            <w:pPr>
              <w:jc w:val="center"/>
            </w:pPr>
            <w:r>
              <w:rPr>
                <w:sz w:val="15"/>
              </w:rPr>
              <w:t>0.436861</w:t>
            </w:r>
          </w:p>
        </w:tc>
        <w:tc>
          <w:tcPr>
            <w:tcW w:type="dxa" w:w="1728"/>
            <w:vAlign w:val="center"/>
            <w:tcMar>
              <w:top w:w="90" w:type="dxa"/>
              <w:start w:w="100" w:type="dxa"/>
              <w:bottom w:w="90" w:type="dxa"/>
              <w:end w:w="100" w:type="dxa"/>
            </w:tcMar>
          </w:tcPr>
          <w:p>
            <w:pPr>
              <w:jc w:val="center"/>
            </w:pPr>
            <w:r>
              <w:rPr>
                <w:sz w:val="15"/>
              </w:rPr>
              <w:t>0.547934</w:t>
            </w:r>
          </w:p>
        </w:tc>
        <w:tc>
          <w:tcPr>
            <w:tcW w:type="dxa" w:w="1440"/>
            <w:vAlign w:val="center"/>
            <w:tcMar>
              <w:top w:w="90" w:type="dxa"/>
              <w:start w:w="100" w:type="dxa"/>
              <w:bottom w:w="90" w:type="dxa"/>
              <w:end w:w="100" w:type="dxa"/>
            </w:tcMar>
          </w:tcPr>
          <w:p>
            <w:pPr>
              <w:jc w:val="center"/>
            </w:pPr>
            <w:r>
              <w:rPr>
                <w:sz w:val="15"/>
              </w:rPr>
              <w:t>30.97%</w:t>
            </w:r>
          </w:p>
        </w:tc>
      </w:tr>
      <w:tr>
        <w:tc>
          <w:tcPr>
            <w:tcW w:type="dxa" w:w="2088"/>
            <w:shd w:fill="EFF5F8"/>
            <w:vAlign w:val="center"/>
            <w:tcMar>
              <w:top w:w="90" w:type="dxa"/>
              <w:start w:w="100" w:type="dxa"/>
              <w:bottom w:w="90" w:type="dxa"/>
              <w:end w:w="100" w:type="dxa"/>
            </w:tcMar>
          </w:tcPr>
          <w:p>
            <w:pPr>
              <w:jc w:val="center"/>
            </w:pPr>
            <w:r>
              <w:rPr>
                <w:sz w:val="15"/>
              </w:rPr>
              <w:t>Security H=3</w:t>
            </w:r>
          </w:p>
        </w:tc>
        <w:tc>
          <w:tcPr>
            <w:tcW w:type="dxa" w:w="1080"/>
            <w:shd w:fill="EFF5F8"/>
            <w:vAlign w:val="center"/>
            <w:tcMar>
              <w:top w:w="90" w:type="dxa"/>
              <w:start w:w="100" w:type="dxa"/>
              <w:bottom w:w="90" w:type="dxa"/>
              <w:end w:w="100" w:type="dxa"/>
            </w:tcMar>
          </w:tcPr>
          <w:p>
            <w:pPr>
              <w:jc w:val="center"/>
            </w:pPr>
            <w:r>
              <w:rPr>
                <w:sz w:val="15"/>
              </w:rPr>
              <w:t>numeric</w:t>
            </w:r>
          </w:p>
        </w:tc>
        <w:tc>
          <w:tcPr>
            <w:tcW w:type="dxa" w:w="1512"/>
            <w:shd w:fill="EFF5F8"/>
            <w:vAlign w:val="center"/>
            <w:tcMar>
              <w:top w:w="90" w:type="dxa"/>
              <w:start w:w="100" w:type="dxa"/>
              <w:bottom w:w="90" w:type="dxa"/>
              <w:end w:w="100" w:type="dxa"/>
            </w:tcMar>
          </w:tcPr>
          <w:p>
            <w:pPr>
              <w:jc w:val="center"/>
            </w:pPr>
            <w:r>
              <w:rPr>
                <w:sz w:val="15"/>
              </w:rPr>
              <w:t>62.089239</w:t>
            </w:r>
          </w:p>
        </w:tc>
        <w:tc>
          <w:tcPr>
            <w:tcW w:type="dxa" w:w="1512"/>
            <w:shd w:fill="EFF5F8"/>
            <w:vAlign w:val="center"/>
            <w:tcMar>
              <w:top w:w="90" w:type="dxa"/>
              <w:start w:w="100" w:type="dxa"/>
              <w:bottom w:w="90" w:type="dxa"/>
              <w:end w:w="100" w:type="dxa"/>
            </w:tcMar>
          </w:tcPr>
          <w:p>
            <w:pPr>
              <w:jc w:val="center"/>
            </w:pPr>
            <w:r>
              <w:rPr>
                <w:sz w:val="15"/>
              </w:rPr>
              <w:t>62.695753</w:t>
            </w:r>
          </w:p>
        </w:tc>
        <w:tc>
          <w:tcPr>
            <w:tcW w:type="dxa" w:w="1728"/>
            <w:shd w:fill="EFF5F8"/>
            <w:vAlign w:val="center"/>
            <w:tcMar>
              <w:top w:w="90" w:type="dxa"/>
              <w:start w:w="100" w:type="dxa"/>
              <w:bottom w:w="90" w:type="dxa"/>
              <w:end w:w="100" w:type="dxa"/>
            </w:tcMar>
          </w:tcPr>
          <w:p>
            <w:pPr>
              <w:jc w:val="center"/>
            </w:pPr>
            <w:r>
              <w:rPr>
                <w:sz w:val="15"/>
              </w:rPr>
              <w:t>73.631145</w:t>
            </w:r>
          </w:p>
        </w:tc>
        <w:tc>
          <w:tcPr>
            <w:tcW w:type="dxa" w:w="1440"/>
            <w:shd w:fill="EFF5F8"/>
            <w:vAlign w:val="center"/>
            <w:tcMar>
              <w:top w:w="90" w:type="dxa"/>
              <w:start w:w="100" w:type="dxa"/>
              <w:bottom w:w="90" w:type="dxa"/>
              <w:end w:w="100" w:type="dxa"/>
            </w:tcMar>
          </w:tcPr>
          <w:p>
            <w:pPr>
              <w:jc w:val="center"/>
            </w:pPr>
            <w:r>
              <w:rPr>
                <w:sz w:val="15"/>
              </w:rPr>
              <w:t>0.97%</w:t>
            </w:r>
          </w:p>
        </w:tc>
      </w:tr>
      <w:tr>
        <w:tc>
          <w:tcPr>
            <w:tcW w:type="dxa" w:w="2088"/>
            <w:vAlign w:val="center"/>
            <w:tcMar>
              <w:top w:w="90" w:type="dxa"/>
              <w:start w:w="100" w:type="dxa"/>
              <w:bottom w:w="90" w:type="dxa"/>
              <w:end w:w="100" w:type="dxa"/>
            </w:tcMar>
          </w:tcPr>
          <w:p>
            <w:pPr>
              <w:jc w:val="center"/>
            </w:pPr>
            <w:r>
              <w:rPr>
                <w:sz w:val="15"/>
              </w:rPr>
              <w:t>Security H=6</w:t>
            </w:r>
          </w:p>
        </w:tc>
        <w:tc>
          <w:tcPr>
            <w:tcW w:type="dxa" w:w="1080"/>
            <w:vAlign w:val="center"/>
            <w:tcMar>
              <w:top w:w="90" w:type="dxa"/>
              <w:start w:w="100" w:type="dxa"/>
              <w:bottom w:w="90" w:type="dxa"/>
              <w:end w:w="100" w:type="dxa"/>
            </w:tcMar>
          </w:tcPr>
          <w:p>
            <w:pPr>
              <w:jc w:val="center"/>
            </w:pPr>
            <w:r>
              <w:rPr>
                <w:sz w:val="15"/>
              </w:rPr>
              <w:t>numeric</w:t>
            </w:r>
          </w:p>
        </w:tc>
        <w:tc>
          <w:tcPr>
            <w:tcW w:type="dxa" w:w="1512"/>
            <w:vAlign w:val="center"/>
            <w:tcMar>
              <w:top w:w="90" w:type="dxa"/>
              <w:start w:w="100" w:type="dxa"/>
              <w:bottom w:w="90" w:type="dxa"/>
              <w:end w:w="100" w:type="dxa"/>
            </w:tcMar>
          </w:tcPr>
          <w:p>
            <w:pPr>
              <w:jc w:val="center"/>
            </w:pPr>
            <w:r>
              <w:rPr>
                <w:sz w:val="15"/>
              </w:rPr>
              <w:t>66.828726</w:t>
            </w:r>
          </w:p>
        </w:tc>
        <w:tc>
          <w:tcPr>
            <w:tcW w:type="dxa" w:w="1512"/>
            <w:vAlign w:val="center"/>
            <w:tcMar>
              <w:top w:w="90" w:type="dxa"/>
              <w:start w:w="100" w:type="dxa"/>
              <w:bottom w:w="90" w:type="dxa"/>
              <w:end w:w="100" w:type="dxa"/>
            </w:tcMar>
          </w:tcPr>
          <w:p>
            <w:pPr>
              <w:jc w:val="center"/>
            </w:pPr>
            <w:r>
              <w:rPr>
                <w:sz w:val="15"/>
              </w:rPr>
              <w:t>67.862684</w:t>
            </w:r>
          </w:p>
        </w:tc>
        <w:tc>
          <w:tcPr>
            <w:tcW w:type="dxa" w:w="1728"/>
            <w:vAlign w:val="center"/>
            <w:tcMar>
              <w:top w:w="90" w:type="dxa"/>
              <w:start w:w="100" w:type="dxa"/>
              <w:bottom w:w="90" w:type="dxa"/>
              <w:end w:w="100" w:type="dxa"/>
            </w:tcMar>
          </w:tcPr>
          <w:p>
            <w:pPr>
              <w:jc w:val="center"/>
            </w:pPr>
            <w:r>
              <w:rPr>
                <w:sz w:val="15"/>
              </w:rPr>
              <w:t>83.517220</w:t>
            </w:r>
          </w:p>
        </w:tc>
        <w:tc>
          <w:tcPr>
            <w:tcW w:type="dxa" w:w="1440"/>
            <w:vAlign w:val="center"/>
            <w:tcMar>
              <w:top w:w="90" w:type="dxa"/>
              <w:start w:w="100" w:type="dxa"/>
              <w:bottom w:w="90" w:type="dxa"/>
              <w:end w:w="100" w:type="dxa"/>
            </w:tcMar>
          </w:tcPr>
          <w:p>
            <w:pPr>
              <w:jc w:val="center"/>
            </w:pPr>
            <w:r>
              <w:rPr>
                <w:sz w:val="15"/>
              </w:rPr>
              <w:t>1.52%</w:t>
            </w:r>
          </w:p>
        </w:tc>
      </w:tr>
      <w:tr>
        <w:tc>
          <w:tcPr>
            <w:tcW w:type="dxa" w:w="2088"/>
            <w:shd w:fill="EFF5F8"/>
            <w:vAlign w:val="center"/>
            <w:tcMar>
              <w:top w:w="90" w:type="dxa"/>
              <w:start w:w="100" w:type="dxa"/>
              <w:bottom w:w="90" w:type="dxa"/>
              <w:end w:w="100" w:type="dxa"/>
            </w:tcMar>
          </w:tcPr>
          <w:p>
            <w:pPr>
              <w:jc w:val="left"/>
            </w:pPr>
            <w:r>
              <w:rPr>
                <w:sz w:val="15"/>
              </w:rPr>
              <w:t>Security H=12</w:t>
            </w:r>
          </w:p>
        </w:tc>
        <w:tc>
          <w:tcPr>
            <w:tcW w:type="dxa" w:w="1080"/>
            <w:shd w:fill="EFF5F8"/>
            <w:vAlign w:val="center"/>
            <w:tcMar>
              <w:top w:w="90" w:type="dxa"/>
              <w:start w:w="100" w:type="dxa"/>
              <w:bottom w:w="90" w:type="dxa"/>
              <w:end w:w="100" w:type="dxa"/>
            </w:tcMar>
          </w:tcPr>
          <w:p>
            <w:pPr>
              <w:jc w:val="center"/>
            </w:pPr>
            <w:r>
              <w:rPr>
                <w:sz w:val="15"/>
              </w:rPr>
              <w:t>numeric</w:t>
            </w:r>
          </w:p>
        </w:tc>
        <w:tc>
          <w:tcPr>
            <w:tcW w:type="dxa" w:w="1512"/>
            <w:shd w:fill="EFF5F8"/>
            <w:vAlign w:val="center"/>
            <w:tcMar>
              <w:top w:w="90" w:type="dxa"/>
              <w:start w:w="100" w:type="dxa"/>
              <w:bottom w:w="90" w:type="dxa"/>
              <w:end w:w="100" w:type="dxa"/>
            </w:tcMar>
          </w:tcPr>
          <w:p>
            <w:pPr>
              <w:jc w:val="center"/>
            </w:pPr>
            <w:r>
              <w:rPr>
                <w:sz w:val="15"/>
              </w:rPr>
              <w:t>78.691568</w:t>
            </w:r>
          </w:p>
        </w:tc>
        <w:tc>
          <w:tcPr>
            <w:tcW w:type="dxa" w:w="1512"/>
            <w:shd w:fill="EFF5F8"/>
            <w:vAlign w:val="center"/>
            <w:tcMar>
              <w:top w:w="90" w:type="dxa"/>
              <w:start w:w="100" w:type="dxa"/>
              <w:bottom w:w="90" w:type="dxa"/>
              <w:end w:w="100" w:type="dxa"/>
            </w:tcMar>
          </w:tcPr>
          <w:p>
            <w:pPr>
              <w:jc w:val="center"/>
            </w:pPr>
            <w:r>
              <w:rPr>
                <w:sz w:val="15"/>
              </w:rPr>
              <w:t>84.078253</w:t>
            </w:r>
          </w:p>
        </w:tc>
        <w:tc>
          <w:tcPr>
            <w:tcW w:type="dxa" w:w="1728"/>
            <w:shd w:fill="EFF5F8"/>
            <w:vAlign w:val="center"/>
            <w:tcMar>
              <w:top w:w="90" w:type="dxa"/>
              <w:start w:w="100" w:type="dxa"/>
              <w:bottom w:w="90" w:type="dxa"/>
              <w:end w:w="100" w:type="dxa"/>
            </w:tcMar>
          </w:tcPr>
          <w:p>
            <w:pPr>
              <w:jc w:val="center"/>
            </w:pPr>
            <w:r>
              <w:rPr>
                <w:sz w:val="15"/>
              </w:rPr>
              <w:t>91.714243</w:t>
            </w:r>
          </w:p>
        </w:tc>
        <w:tc>
          <w:tcPr>
            <w:tcW w:type="dxa" w:w="1440"/>
            <w:shd w:fill="EFF5F8"/>
            <w:vAlign w:val="center"/>
            <w:tcMar>
              <w:top w:w="90" w:type="dxa"/>
              <w:start w:w="100" w:type="dxa"/>
              <w:bottom w:w="90" w:type="dxa"/>
              <w:end w:w="100" w:type="dxa"/>
            </w:tcMar>
          </w:tcPr>
          <w:p>
            <w:pPr>
              <w:jc w:val="center"/>
            </w:pPr>
            <w:r>
              <w:rPr>
                <w:sz w:val="15"/>
              </w:rPr>
              <w:t>6.41%</w:t>
            </w:r>
          </w:p>
        </w:tc>
      </w:tr>
    </w:tbl>
    <w:p>
      <w:pPr>
        <w:spacing w:after="40"/>
      </w:pPr>
    </w:p>
    <w:p>
      <w:pPr>
        <w:spacing w:line="348" w:lineRule="auto" w:after="100"/>
        <w:ind w:firstLine="480"/>
      </w:pPr>
      <w:r>
        <w:t>六项任务均未启用语义路径，预先规定的语义增益确认标准没有达到。该结果限制了本文主张：不能说文本在多领域普遍提高精度。另一方面，语义候选在六项任务最终都比内部数值路径差，选择器在 6/6 任务正确拒绝了这些路径，使最终预测等于数值回退，平均避免 21.97% 的语义路径损失。</w:t>
      </w:r>
    </w:p>
    <w:p>
      <w:pPr>
        <w:keepNext/>
        <w:jc w:val="center"/>
      </w:pPr>
      <w:r>
        <w:drawing>
          <wp:inline xmlns:a="http://schemas.openxmlformats.org/drawingml/2006/main" xmlns:pic="http://schemas.openxmlformats.org/drawingml/2006/picture">
            <wp:extent cx="6035040" cy="3571848"/>
            <wp:docPr id="11" name="Picture 11" descr="图 5 冻结确认实验中的语义负迁移与安全回退"/>
            <wp:cNvGraphicFramePr>
              <a:graphicFrameLocks noChangeAspect="1"/>
            </wp:cNvGraphicFramePr>
            <a:graphic>
              <a:graphicData uri="http://schemas.openxmlformats.org/drawingml/2006/picture">
                <pic:pic>
                  <pic:nvPicPr>
                    <pic:cNvPr id="0" name="fig05_confirmation_safety.png"/>
                    <pic:cNvPicPr/>
                  </pic:nvPicPr>
                  <pic:blipFill>
                    <a:blip r:embed="rId21"/>
                    <a:stretch>
                      <a:fillRect/>
                    </a:stretch>
                  </pic:blipFill>
                  <pic:spPr>
                    <a:xfrm>
                      <a:off x="0" y="0"/>
                      <a:ext cx="6035040" cy="3571848"/>
                    </a:xfrm>
                    <a:prstGeom prst="rect"/>
                  </pic:spPr>
                </pic:pic>
              </a:graphicData>
            </a:graphic>
          </wp:inline>
        </w:drawing>
      </w:r>
    </w:p>
    <w:p>
      <w:pPr>
        <w:pStyle w:val="Caption"/>
        <w:keepNext w:val="0"/>
        <w:jc w:val="center"/>
      </w:pPr>
      <w:r>
        <w:t>图 5 冻结确认实验中的语义负迁移与安全回退</w:t>
      </w:r>
    </w:p>
    <w:p>
      <w:r>
        <w:br w:type="page"/>
      </w:r>
    </w:p>
    <w:p>
      <w:pPr>
        <w:pStyle w:val="Heading2"/>
        <w:keepNext/>
      </w:pPr>
      <w:r>
        <w:t>7.3 ETT 外部数值基准</w:t>
      </w:r>
    </w:p>
    <w:p>
      <w:pPr>
        <w:pStyle w:val="Caption"/>
        <w:keepNext w:val="0"/>
        <w:jc w:val="center"/>
      </w:pPr>
      <w:r>
        <w:t>表 5 ETT 外部单目标预测结果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tblHeader w:val="true"/>
        </w:trPr>
        <w:tc>
          <w:tcPr>
            <w:tcW w:type="dxa" w:w="1728"/>
            <w:shd w:fill="234E70"/>
            <w:vAlign w:val="center"/>
            <w:tcMar>
              <w:top w:w="90" w:type="dxa"/>
              <w:start w:w="100" w:type="dxa"/>
              <w:bottom w:w="90" w:type="dxa"/>
              <w:end w:w="100" w:type="dxa"/>
            </w:tcMar>
          </w:tcPr>
          <w:p>
            <w:pPr>
              <w:jc w:val="center"/>
            </w:pPr>
            <w:r>
              <w:rPr>
                <w:b/>
                <w:color w:val="FFFFFF"/>
                <w:sz w:val="16"/>
              </w:rPr>
              <w:t>任务</w:t>
            </w:r>
          </w:p>
        </w:tc>
        <w:tc>
          <w:tcPr>
            <w:tcW w:type="dxa" w:w="1584"/>
            <w:shd w:fill="234E70"/>
            <w:vAlign w:val="center"/>
            <w:tcMar>
              <w:top w:w="90" w:type="dxa"/>
              <w:start w:w="100" w:type="dxa"/>
              <w:bottom w:w="90" w:type="dxa"/>
              <w:end w:w="100" w:type="dxa"/>
            </w:tcMar>
          </w:tcPr>
          <w:p>
            <w:pPr>
              <w:jc w:val="center"/>
            </w:pPr>
            <w:r>
              <w:rPr>
                <w:b/>
                <w:color w:val="FFFFFF"/>
                <w:sz w:val="16"/>
              </w:rPr>
              <w:t>优胜模型</w:t>
            </w:r>
          </w:p>
        </w:tc>
        <w:tc>
          <w:tcPr>
            <w:tcW w:type="dxa" w:w="1512"/>
            <w:shd w:fill="234E70"/>
            <w:vAlign w:val="center"/>
            <w:tcMar>
              <w:top w:w="90" w:type="dxa"/>
              <w:start w:w="100" w:type="dxa"/>
              <w:bottom w:w="90" w:type="dxa"/>
              <w:end w:w="100" w:type="dxa"/>
            </w:tcMar>
          </w:tcPr>
          <w:p>
            <w:pPr>
              <w:jc w:val="center"/>
            </w:pPr>
            <w:r>
              <w:rPr>
                <w:b/>
                <w:color w:val="FFFFFF"/>
                <w:sz w:val="16"/>
              </w:rPr>
              <w:t>MSE均值</w:t>
            </w:r>
          </w:p>
        </w:tc>
        <w:tc>
          <w:tcPr>
            <w:tcW w:type="dxa" w:w="1440"/>
            <w:shd w:fill="234E70"/>
            <w:vAlign w:val="center"/>
            <w:tcMar>
              <w:top w:w="90" w:type="dxa"/>
              <w:start w:w="100" w:type="dxa"/>
              <w:bottom w:w="90" w:type="dxa"/>
              <w:end w:w="100" w:type="dxa"/>
            </w:tcMar>
          </w:tcPr>
          <w:p>
            <w:pPr>
              <w:jc w:val="center"/>
            </w:pPr>
            <w:r>
              <w:rPr>
                <w:b/>
                <w:color w:val="FFFFFF"/>
                <w:sz w:val="16"/>
              </w:rPr>
              <w:t>标准差</w:t>
            </w:r>
          </w:p>
        </w:tc>
        <w:tc>
          <w:tcPr>
            <w:tcW w:type="dxa" w:w="1800"/>
            <w:shd w:fill="234E70"/>
            <w:vAlign w:val="center"/>
            <w:tcMar>
              <w:top w:w="90" w:type="dxa"/>
              <w:start w:w="100" w:type="dxa"/>
              <w:bottom w:w="90" w:type="dxa"/>
              <w:end w:w="100" w:type="dxa"/>
            </w:tcMar>
          </w:tcPr>
          <w:p>
            <w:pPr>
              <w:jc w:val="center"/>
            </w:pPr>
            <w:r>
              <w:rPr>
                <w:b/>
                <w:color w:val="FFFFFF"/>
                <w:sz w:val="16"/>
              </w:rPr>
              <w:t>最强非Patch</w:t>
            </w:r>
          </w:p>
        </w:tc>
        <w:tc>
          <w:tcPr>
            <w:tcW w:type="dxa" w:w="1224"/>
            <w:shd w:fill="234E70"/>
            <w:vAlign w:val="center"/>
            <w:tcMar>
              <w:top w:w="90" w:type="dxa"/>
              <w:start w:w="100" w:type="dxa"/>
              <w:bottom w:w="90" w:type="dxa"/>
              <w:end w:w="100" w:type="dxa"/>
            </w:tcMar>
          </w:tcPr>
          <w:p>
            <w:pPr>
              <w:jc w:val="center"/>
            </w:pPr>
            <w:r>
              <w:rPr>
                <w:b/>
                <w:color w:val="FFFFFF"/>
                <w:sz w:val="16"/>
              </w:rPr>
              <w:t>改善</w:t>
            </w:r>
          </w:p>
        </w:tc>
      </w:tr>
      <w:tr>
        <w:tc>
          <w:tcPr>
            <w:tcW w:type="dxa" w:w="1728"/>
            <w:vAlign w:val="center"/>
            <w:tcMar>
              <w:top w:w="90" w:type="dxa"/>
              <w:start w:w="100" w:type="dxa"/>
              <w:bottom w:w="90" w:type="dxa"/>
              <w:end w:w="100" w:type="dxa"/>
            </w:tcMar>
          </w:tcPr>
          <w:p>
            <w:pPr>
              <w:jc w:val="center"/>
            </w:pPr>
            <w:r>
              <w:rPr>
                <w:sz w:val="16"/>
              </w:rPr>
              <w:t>ETTh1 H=96</w:t>
            </w:r>
          </w:p>
        </w:tc>
        <w:tc>
          <w:tcPr>
            <w:tcW w:type="dxa" w:w="1584"/>
            <w:vAlign w:val="center"/>
            <w:tcMar>
              <w:top w:w="90" w:type="dxa"/>
              <w:start w:w="100" w:type="dxa"/>
              <w:bottom w:w="90" w:type="dxa"/>
              <w:end w:w="100" w:type="dxa"/>
            </w:tcMar>
          </w:tcPr>
          <w:p>
            <w:pPr>
              <w:jc w:val="center"/>
            </w:pPr>
            <w:r>
              <w:rPr>
                <w:sz w:val="16"/>
              </w:rPr>
              <w:t>PatchTST-M</w:t>
            </w:r>
          </w:p>
        </w:tc>
        <w:tc>
          <w:tcPr>
            <w:tcW w:type="dxa" w:w="1512"/>
            <w:vAlign w:val="center"/>
            <w:tcMar>
              <w:top w:w="90" w:type="dxa"/>
              <w:start w:w="100" w:type="dxa"/>
              <w:bottom w:w="90" w:type="dxa"/>
              <w:end w:w="100" w:type="dxa"/>
            </w:tcMar>
          </w:tcPr>
          <w:p>
            <w:pPr>
              <w:jc w:val="center"/>
            </w:pPr>
            <w:r>
              <w:rPr>
                <w:sz w:val="16"/>
              </w:rPr>
              <w:t>0.055523</w:t>
            </w:r>
          </w:p>
        </w:tc>
        <w:tc>
          <w:tcPr>
            <w:tcW w:type="dxa" w:w="1440"/>
            <w:vAlign w:val="center"/>
            <w:tcMar>
              <w:top w:w="90" w:type="dxa"/>
              <w:start w:w="100" w:type="dxa"/>
              <w:bottom w:w="90" w:type="dxa"/>
              <w:end w:w="100" w:type="dxa"/>
            </w:tcMar>
          </w:tcPr>
          <w:p>
            <w:pPr>
              <w:jc w:val="center"/>
            </w:pPr>
            <w:r>
              <w:rPr>
                <w:sz w:val="16"/>
              </w:rPr>
              <w:t>0.000250</w:t>
            </w:r>
          </w:p>
        </w:tc>
        <w:tc>
          <w:tcPr>
            <w:tcW w:type="dxa" w:w="1800"/>
            <w:vAlign w:val="center"/>
            <w:tcMar>
              <w:top w:w="90" w:type="dxa"/>
              <w:start w:w="100" w:type="dxa"/>
              <w:bottom w:w="90" w:type="dxa"/>
              <w:end w:w="100" w:type="dxa"/>
            </w:tcMar>
          </w:tcPr>
          <w:p>
            <w:pPr>
              <w:jc w:val="center"/>
            </w:pPr>
            <w:r>
              <w:rPr>
                <w:sz w:val="16"/>
              </w:rPr>
              <w:t>ARRidge</w:t>
            </w:r>
          </w:p>
        </w:tc>
        <w:tc>
          <w:tcPr>
            <w:tcW w:type="dxa" w:w="1224"/>
            <w:vAlign w:val="center"/>
            <w:tcMar>
              <w:top w:w="90" w:type="dxa"/>
              <w:start w:w="100" w:type="dxa"/>
              <w:bottom w:w="90" w:type="dxa"/>
              <w:end w:w="100" w:type="dxa"/>
            </w:tcMar>
          </w:tcPr>
          <w:p>
            <w:pPr>
              <w:jc w:val="center"/>
            </w:pPr>
            <w:r>
              <w:rPr>
                <w:sz w:val="16"/>
              </w:rPr>
              <w:t>6.93%</w:t>
            </w:r>
          </w:p>
        </w:tc>
      </w:tr>
      <w:tr>
        <w:tc>
          <w:tcPr>
            <w:tcW w:type="dxa" w:w="1728"/>
            <w:shd w:fill="EFF5F8"/>
            <w:vAlign w:val="center"/>
            <w:tcMar>
              <w:top w:w="90" w:type="dxa"/>
              <w:start w:w="100" w:type="dxa"/>
              <w:bottom w:w="90" w:type="dxa"/>
              <w:end w:w="100" w:type="dxa"/>
            </w:tcMar>
          </w:tcPr>
          <w:p>
            <w:pPr>
              <w:jc w:val="center"/>
            </w:pPr>
            <w:r>
              <w:rPr>
                <w:sz w:val="16"/>
              </w:rPr>
              <w:t>ETTh1 H=336</w:t>
            </w:r>
          </w:p>
        </w:tc>
        <w:tc>
          <w:tcPr>
            <w:tcW w:type="dxa" w:w="1584"/>
            <w:shd w:fill="EFF5F8"/>
            <w:vAlign w:val="center"/>
            <w:tcMar>
              <w:top w:w="90" w:type="dxa"/>
              <w:start w:w="100" w:type="dxa"/>
              <w:bottom w:w="90" w:type="dxa"/>
              <w:end w:w="100" w:type="dxa"/>
            </w:tcMar>
          </w:tcPr>
          <w:p>
            <w:pPr>
              <w:jc w:val="center"/>
            </w:pPr>
            <w:r>
              <w:rPr>
                <w:sz w:val="16"/>
              </w:rPr>
              <w:t>PatchTST-M</w:t>
            </w:r>
          </w:p>
        </w:tc>
        <w:tc>
          <w:tcPr>
            <w:tcW w:type="dxa" w:w="1512"/>
            <w:shd w:fill="EFF5F8"/>
            <w:vAlign w:val="center"/>
            <w:tcMar>
              <w:top w:w="90" w:type="dxa"/>
              <w:start w:w="100" w:type="dxa"/>
              <w:bottom w:w="90" w:type="dxa"/>
              <w:end w:w="100" w:type="dxa"/>
            </w:tcMar>
          </w:tcPr>
          <w:p>
            <w:pPr>
              <w:jc w:val="center"/>
            </w:pPr>
            <w:r>
              <w:rPr>
                <w:sz w:val="16"/>
              </w:rPr>
              <w:t>0.085091</w:t>
            </w:r>
          </w:p>
        </w:tc>
        <w:tc>
          <w:tcPr>
            <w:tcW w:type="dxa" w:w="1440"/>
            <w:shd w:fill="EFF5F8"/>
            <w:vAlign w:val="center"/>
            <w:tcMar>
              <w:top w:w="90" w:type="dxa"/>
              <w:start w:w="100" w:type="dxa"/>
              <w:bottom w:w="90" w:type="dxa"/>
              <w:end w:w="100" w:type="dxa"/>
            </w:tcMar>
          </w:tcPr>
          <w:p>
            <w:pPr>
              <w:jc w:val="center"/>
            </w:pPr>
            <w:r>
              <w:rPr>
                <w:sz w:val="16"/>
              </w:rPr>
              <w:t>0.000937</w:t>
            </w:r>
          </w:p>
        </w:tc>
        <w:tc>
          <w:tcPr>
            <w:tcW w:type="dxa" w:w="1800"/>
            <w:shd w:fill="EFF5F8"/>
            <w:vAlign w:val="center"/>
            <w:tcMar>
              <w:top w:w="90" w:type="dxa"/>
              <w:start w:w="100" w:type="dxa"/>
              <w:bottom w:w="90" w:type="dxa"/>
              <w:end w:w="100" w:type="dxa"/>
            </w:tcMar>
          </w:tcPr>
          <w:p>
            <w:pPr>
              <w:jc w:val="center"/>
            </w:pPr>
            <w:r>
              <w:rPr>
                <w:sz w:val="16"/>
              </w:rPr>
              <w:t>ARRidge</w:t>
            </w:r>
          </w:p>
        </w:tc>
        <w:tc>
          <w:tcPr>
            <w:tcW w:type="dxa" w:w="1224"/>
            <w:shd w:fill="EFF5F8"/>
            <w:vAlign w:val="center"/>
            <w:tcMar>
              <w:top w:w="90" w:type="dxa"/>
              <w:start w:w="100" w:type="dxa"/>
              <w:bottom w:w="90" w:type="dxa"/>
              <w:end w:w="100" w:type="dxa"/>
            </w:tcMar>
          </w:tcPr>
          <w:p>
            <w:pPr>
              <w:jc w:val="center"/>
            </w:pPr>
            <w:r>
              <w:rPr>
                <w:sz w:val="16"/>
              </w:rPr>
              <w:t>12.36%</w:t>
            </w:r>
          </w:p>
        </w:tc>
      </w:tr>
      <w:tr>
        <w:tc>
          <w:tcPr>
            <w:tcW w:type="dxa" w:w="1728"/>
            <w:vAlign w:val="center"/>
            <w:tcMar>
              <w:top w:w="90" w:type="dxa"/>
              <w:start w:w="100" w:type="dxa"/>
              <w:bottom w:w="90" w:type="dxa"/>
              <w:end w:w="100" w:type="dxa"/>
            </w:tcMar>
          </w:tcPr>
          <w:p>
            <w:pPr>
              <w:jc w:val="center"/>
            </w:pPr>
            <w:r>
              <w:rPr>
                <w:sz w:val="16"/>
              </w:rPr>
              <w:t>ETTh1 H=720</w:t>
            </w:r>
          </w:p>
        </w:tc>
        <w:tc>
          <w:tcPr>
            <w:tcW w:type="dxa" w:w="1584"/>
            <w:vAlign w:val="center"/>
            <w:tcMar>
              <w:top w:w="90" w:type="dxa"/>
              <w:start w:w="100" w:type="dxa"/>
              <w:bottom w:w="90" w:type="dxa"/>
              <w:end w:w="100" w:type="dxa"/>
            </w:tcMar>
          </w:tcPr>
          <w:p>
            <w:pPr>
              <w:jc w:val="center"/>
            </w:pPr>
            <w:r>
              <w:rPr>
                <w:sz w:val="16"/>
              </w:rPr>
              <w:t>PatchTST-M</w:t>
            </w:r>
          </w:p>
        </w:tc>
        <w:tc>
          <w:tcPr>
            <w:tcW w:type="dxa" w:w="1512"/>
            <w:vAlign w:val="center"/>
            <w:tcMar>
              <w:top w:w="90" w:type="dxa"/>
              <w:start w:w="100" w:type="dxa"/>
              <w:bottom w:w="90" w:type="dxa"/>
              <w:end w:w="100" w:type="dxa"/>
            </w:tcMar>
          </w:tcPr>
          <w:p>
            <w:pPr>
              <w:jc w:val="center"/>
            </w:pPr>
            <w:r>
              <w:rPr>
                <w:sz w:val="16"/>
              </w:rPr>
              <w:t>0.090502</w:t>
            </w:r>
          </w:p>
        </w:tc>
        <w:tc>
          <w:tcPr>
            <w:tcW w:type="dxa" w:w="1440"/>
            <w:vAlign w:val="center"/>
            <w:tcMar>
              <w:top w:w="90" w:type="dxa"/>
              <w:start w:w="100" w:type="dxa"/>
              <w:bottom w:w="90" w:type="dxa"/>
              <w:end w:w="100" w:type="dxa"/>
            </w:tcMar>
          </w:tcPr>
          <w:p>
            <w:pPr>
              <w:jc w:val="center"/>
            </w:pPr>
            <w:r>
              <w:rPr>
                <w:sz w:val="16"/>
              </w:rPr>
              <w:t>0.001367</w:t>
            </w:r>
          </w:p>
        </w:tc>
        <w:tc>
          <w:tcPr>
            <w:tcW w:type="dxa" w:w="1800"/>
            <w:vAlign w:val="center"/>
            <w:tcMar>
              <w:top w:w="90" w:type="dxa"/>
              <w:start w:w="100" w:type="dxa"/>
              <w:bottom w:w="90" w:type="dxa"/>
              <w:end w:w="100" w:type="dxa"/>
            </w:tcMar>
          </w:tcPr>
          <w:p>
            <w:pPr>
              <w:jc w:val="left"/>
            </w:pPr>
            <w:r>
              <w:rPr>
                <w:sz w:val="16"/>
              </w:rPr>
              <w:t>SeasonalNaive24</w:t>
            </w:r>
          </w:p>
        </w:tc>
        <w:tc>
          <w:tcPr>
            <w:tcW w:type="dxa" w:w="1224"/>
            <w:vAlign w:val="center"/>
            <w:tcMar>
              <w:top w:w="90" w:type="dxa"/>
              <w:start w:w="100" w:type="dxa"/>
              <w:bottom w:w="90" w:type="dxa"/>
              <w:end w:w="100" w:type="dxa"/>
            </w:tcMar>
          </w:tcPr>
          <w:p>
            <w:pPr>
              <w:jc w:val="center"/>
            </w:pPr>
            <w:r>
              <w:rPr>
                <w:sz w:val="16"/>
              </w:rPr>
              <w:t>27.73%</w:t>
            </w:r>
          </w:p>
        </w:tc>
      </w:tr>
      <w:tr>
        <w:tc>
          <w:tcPr>
            <w:tcW w:type="dxa" w:w="1728"/>
            <w:shd w:fill="EFF5F8"/>
            <w:vAlign w:val="center"/>
            <w:tcMar>
              <w:top w:w="90" w:type="dxa"/>
              <w:start w:w="100" w:type="dxa"/>
              <w:bottom w:w="90" w:type="dxa"/>
              <w:end w:w="100" w:type="dxa"/>
            </w:tcMar>
          </w:tcPr>
          <w:p>
            <w:pPr>
              <w:jc w:val="center"/>
            </w:pPr>
            <w:r>
              <w:rPr>
                <w:sz w:val="16"/>
              </w:rPr>
              <w:t>ETTh2 H=96</w:t>
            </w:r>
          </w:p>
        </w:tc>
        <w:tc>
          <w:tcPr>
            <w:tcW w:type="dxa" w:w="1584"/>
            <w:shd w:fill="EFF5F8"/>
            <w:vAlign w:val="center"/>
            <w:tcMar>
              <w:top w:w="90" w:type="dxa"/>
              <w:start w:w="100" w:type="dxa"/>
              <w:bottom w:w="90" w:type="dxa"/>
              <w:end w:w="100" w:type="dxa"/>
            </w:tcMar>
          </w:tcPr>
          <w:p>
            <w:pPr>
              <w:jc w:val="center"/>
            </w:pPr>
            <w:r>
              <w:rPr>
                <w:sz w:val="16"/>
              </w:rPr>
              <w:t>PatchTST-M</w:t>
            </w:r>
          </w:p>
        </w:tc>
        <w:tc>
          <w:tcPr>
            <w:tcW w:type="dxa" w:w="1512"/>
            <w:shd w:fill="EFF5F8"/>
            <w:vAlign w:val="center"/>
            <w:tcMar>
              <w:top w:w="90" w:type="dxa"/>
              <w:start w:w="100" w:type="dxa"/>
              <w:bottom w:w="90" w:type="dxa"/>
              <w:end w:w="100" w:type="dxa"/>
            </w:tcMar>
          </w:tcPr>
          <w:p>
            <w:pPr>
              <w:jc w:val="center"/>
            </w:pPr>
            <w:r>
              <w:rPr>
                <w:sz w:val="16"/>
              </w:rPr>
              <w:t>0.127641</w:t>
            </w:r>
          </w:p>
        </w:tc>
        <w:tc>
          <w:tcPr>
            <w:tcW w:type="dxa" w:w="1440"/>
            <w:shd w:fill="EFF5F8"/>
            <w:vAlign w:val="center"/>
            <w:tcMar>
              <w:top w:w="90" w:type="dxa"/>
              <w:start w:w="100" w:type="dxa"/>
              <w:bottom w:w="90" w:type="dxa"/>
              <w:end w:w="100" w:type="dxa"/>
            </w:tcMar>
          </w:tcPr>
          <w:p>
            <w:pPr>
              <w:jc w:val="center"/>
            </w:pPr>
            <w:r>
              <w:rPr>
                <w:sz w:val="16"/>
              </w:rPr>
              <w:t>0.000851</w:t>
            </w:r>
          </w:p>
        </w:tc>
        <w:tc>
          <w:tcPr>
            <w:tcW w:type="dxa" w:w="1800"/>
            <w:shd w:fill="EFF5F8"/>
            <w:vAlign w:val="center"/>
            <w:tcMar>
              <w:top w:w="90" w:type="dxa"/>
              <w:start w:w="100" w:type="dxa"/>
              <w:bottom w:w="90" w:type="dxa"/>
              <w:end w:w="100" w:type="dxa"/>
            </w:tcMar>
          </w:tcPr>
          <w:p>
            <w:pPr>
              <w:jc w:val="center"/>
            </w:pPr>
            <w:r>
              <w:rPr>
                <w:sz w:val="16"/>
              </w:rPr>
              <w:t>ARRidge</w:t>
            </w:r>
          </w:p>
        </w:tc>
        <w:tc>
          <w:tcPr>
            <w:tcW w:type="dxa" w:w="1224"/>
            <w:shd w:fill="EFF5F8"/>
            <w:vAlign w:val="center"/>
            <w:tcMar>
              <w:top w:w="90" w:type="dxa"/>
              <w:start w:w="100" w:type="dxa"/>
              <w:bottom w:w="90" w:type="dxa"/>
              <w:end w:w="100" w:type="dxa"/>
            </w:tcMar>
          </w:tcPr>
          <w:p>
            <w:pPr>
              <w:jc w:val="center"/>
            </w:pPr>
            <w:r>
              <w:rPr>
                <w:sz w:val="16"/>
              </w:rPr>
              <w:t>0.86%</w:t>
            </w:r>
          </w:p>
        </w:tc>
      </w:tr>
      <w:tr>
        <w:tc>
          <w:tcPr>
            <w:tcW w:type="dxa" w:w="1728"/>
            <w:vAlign w:val="center"/>
            <w:tcMar>
              <w:top w:w="90" w:type="dxa"/>
              <w:start w:w="100" w:type="dxa"/>
              <w:bottom w:w="90" w:type="dxa"/>
              <w:end w:w="100" w:type="dxa"/>
            </w:tcMar>
          </w:tcPr>
          <w:p>
            <w:pPr>
              <w:jc w:val="center"/>
            </w:pPr>
            <w:r>
              <w:rPr>
                <w:sz w:val="16"/>
              </w:rPr>
              <w:t>ETTh2 H=336</w:t>
            </w:r>
          </w:p>
        </w:tc>
        <w:tc>
          <w:tcPr>
            <w:tcW w:type="dxa" w:w="1584"/>
            <w:vAlign w:val="center"/>
            <w:tcMar>
              <w:top w:w="90" w:type="dxa"/>
              <w:start w:w="100" w:type="dxa"/>
              <w:bottom w:w="90" w:type="dxa"/>
              <w:end w:w="100" w:type="dxa"/>
            </w:tcMar>
          </w:tcPr>
          <w:p>
            <w:pPr>
              <w:jc w:val="center"/>
            </w:pPr>
            <w:r>
              <w:rPr>
                <w:sz w:val="16"/>
              </w:rPr>
              <w:t>PatchTST-M</w:t>
            </w:r>
          </w:p>
        </w:tc>
        <w:tc>
          <w:tcPr>
            <w:tcW w:type="dxa" w:w="1512"/>
            <w:vAlign w:val="center"/>
            <w:tcMar>
              <w:top w:w="90" w:type="dxa"/>
              <w:start w:w="100" w:type="dxa"/>
              <w:bottom w:w="90" w:type="dxa"/>
              <w:end w:w="100" w:type="dxa"/>
            </w:tcMar>
          </w:tcPr>
          <w:p>
            <w:pPr>
              <w:jc w:val="center"/>
            </w:pPr>
            <w:r>
              <w:rPr>
                <w:sz w:val="16"/>
              </w:rPr>
              <w:t>0.215142</w:t>
            </w:r>
          </w:p>
        </w:tc>
        <w:tc>
          <w:tcPr>
            <w:tcW w:type="dxa" w:w="1440"/>
            <w:vAlign w:val="center"/>
            <w:tcMar>
              <w:top w:w="90" w:type="dxa"/>
              <w:start w:w="100" w:type="dxa"/>
              <w:bottom w:w="90" w:type="dxa"/>
              <w:end w:w="100" w:type="dxa"/>
            </w:tcMar>
          </w:tcPr>
          <w:p>
            <w:pPr>
              <w:jc w:val="center"/>
            </w:pPr>
            <w:r>
              <w:rPr>
                <w:sz w:val="16"/>
              </w:rPr>
              <w:t>0.001113</w:t>
            </w:r>
          </w:p>
        </w:tc>
        <w:tc>
          <w:tcPr>
            <w:tcW w:type="dxa" w:w="1800"/>
            <w:vAlign w:val="center"/>
            <w:tcMar>
              <w:top w:w="90" w:type="dxa"/>
              <w:start w:w="100" w:type="dxa"/>
              <w:bottom w:w="90" w:type="dxa"/>
              <w:end w:w="100" w:type="dxa"/>
            </w:tcMar>
          </w:tcPr>
          <w:p>
            <w:pPr>
              <w:jc w:val="center"/>
            </w:pPr>
            <w:r>
              <w:rPr>
                <w:sz w:val="16"/>
              </w:rPr>
              <w:t>ARRidge</w:t>
            </w:r>
          </w:p>
        </w:tc>
        <w:tc>
          <w:tcPr>
            <w:tcW w:type="dxa" w:w="1224"/>
            <w:vAlign w:val="center"/>
            <w:tcMar>
              <w:top w:w="90" w:type="dxa"/>
              <w:start w:w="100" w:type="dxa"/>
              <w:bottom w:w="90" w:type="dxa"/>
              <w:end w:w="100" w:type="dxa"/>
            </w:tcMar>
          </w:tcPr>
          <w:p>
            <w:pPr>
              <w:jc w:val="center"/>
            </w:pPr>
            <w:r>
              <w:rPr>
                <w:sz w:val="16"/>
              </w:rPr>
              <w:t>7.13%</w:t>
            </w:r>
          </w:p>
        </w:tc>
      </w:tr>
      <w:tr>
        <w:tc>
          <w:tcPr>
            <w:tcW w:type="dxa" w:w="1728"/>
            <w:shd w:fill="EFF5F8"/>
            <w:vAlign w:val="center"/>
            <w:tcMar>
              <w:top w:w="90" w:type="dxa"/>
              <w:start w:w="100" w:type="dxa"/>
              <w:bottom w:w="90" w:type="dxa"/>
              <w:end w:w="100" w:type="dxa"/>
            </w:tcMar>
          </w:tcPr>
          <w:p>
            <w:pPr>
              <w:jc w:val="center"/>
            </w:pPr>
            <w:r>
              <w:rPr>
                <w:sz w:val="16"/>
              </w:rPr>
              <w:t>ETTh2 H=720</w:t>
            </w:r>
          </w:p>
        </w:tc>
        <w:tc>
          <w:tcPr>
            <w:tcW w:type="dxa" w:w="1584"/>
            <w:shd w:fill="EFF5F8"/>
            <w:vAlign w:val="center"/>
            <w:tcMar>
              <w:top w:w="90" w:type="dxa"/>
              <w:start w:w="100" w:type="dxa"/>
              <w:bottom w:w="90" w:type="dxa"/>
              <w:end w:w="100" w:type="dxa"/>
            </w:tcMar>
          </w:tcPr>
          <w:p>
            <w:pPr>
              <w:jc w:val="center"/>
            </w:pPr>
            <w:r>
              <w:rPr>
                <w:sz w:val="16"/>
              </w:rPr>
              <w:t>PatchTST-M</w:t>
            </w:r>
          </w:p>
        </w:tc>
        <w:tc>
          <w:tcPr>
            <w:tcW w:type="dxa" w:w="1512"/>
            <w:shd w:fill="EFF5F8"/>
            <w:vAlign w:val="center"/>
            <w:tcMar>
              <w:top w:w="90" w:type="dxa"/>
              <w:start w:w="100" w:type="dxa"/>
              <w:bottom w:w="90" w:type="dxa"/>
              <w:end w:w="100" w:type="dxa"/>
            </w:tcMar>
          </w:tcPr>
          <w:p>
            <w:pPr>
              <w:jc w:val="center"/>
            </w:pPr>
            <w:r>
              <w:rPr>
                <w:sz w:val="16"/>
              </w:rPr>
              <w:t>0.238184</w:t>
            </w:r>
          </w:p>
        </w:tc>
        <w:tc>
          <w:tcPr>
            <w:tcW w:type="dxa" w:w="1440"/>
            <w:shd w:fill="EFF5F8"/>
            <w:vAlign w:val="center"/>
            <w:tcMar>
              <w:top w:w="90" w:type="dxa"/>
              <w:start w:w="100" w:type="dxa"/>
              <w:bottom w:w="90" w:type="dxa"/>
              <w:end w:w="100" w:type="dxa"/>
            </w:tcMar>
          </w:tcPr>
          <w:p>
            <w:pPr>
              <w:jc w:val="center"/>
            </w:pPr>
            <w:r>
              <w:rPr>
                <w:sz w:val="16"/>
              </w:rPr>
              <w:t>0.003905</w:t>
            </w:r>
          </w:p>
        </w:tc>
        <w:tc>
          <w:tcPr>
            <w:tcW w:type="dxa" w:w="1800"/>
            <w:shd w:fill="EFF5F8"/>
            <w:vAlign w:val="center"/>
            <w:tcMar>
              <w:top w:w="90" w:type="dxa"/>
              <w:start w:w="100" w:type="dxa"/>
              <w:bottom w:w="90" w:type="dxa"/>
              <w:end w:w="100" w:type="dxa"/>
            </w:tcMar>
          </w:tcPr>
          <w:p>
            <w:pPr>
              <w:jc w:val="left"/>
            </w:pPr>
            <w:r>
              <w:rPr>
                <w:sz w:val="16"/>
              </w:rPr>
              <w:t>SeasonalNaive24</w:t>
            </w:r>
          </w:p>
        </w:tc>
        <w:tc>
          <w:tcPr>
            <w:tcW w:type="dxa" w:w="1224"/>
            <w:shd w:fill="EFF5F8"/>
            <w:vAlign w:val="center"/>
            <w:tcMar>
              <w:top w:w="90" w:type="dxa"/>
              <w:start w:w="100" w:type="dxa"/>
              <w:bottom w:w="90" w:type="dxa"/>
              <w:end w:w="100" w:type="dxa"/>
            </w:tcMar>
          </w:tcPr>
          <w:p>
            <w:pPr>
              <w:jc w:val="center"/>
            </w:pPr>
            <w:r>
              <w:rPr>
                <w:sz w:val="16"/>
              </w:rPr>
              <w:t>21.12%</w:t>
            </w:r>
          </w:p>
        </w:tc>
      </w:tr>
    </w:tbl>
    <w:p>
      <w:pPr>
        <w:spacing w:after="40"/>
      </w:pPr>
    </w:p>
    <w:p>
      <w:pPr>
        <w:spacing w:line="348" w:lineRule="auto" w:after="100"/>
        <w:ind w:firstLine="480"/>
      </w:pPr>
      <w:r>
        <w:t>PatchTST-M 在 ETTh1 和 ETTh2 的六项任务中全部获得最低平均 MSE，相对最强非 PatchTST 基线平均改善 12.69%。其中 ETTh2 H=96 仅改善 0.86%，表明优势并非在每项任务都很大；ETTh1 H=720 和 ETTh2 H=720 的改善分别为 27.73% 和 21.12%，说明分块表示在长跨度更有价值。</w:t>
      </w:r>
    </w:p>
    <w:p>
      <w:pPr>
        <w:keepNext/>
        <w:jc w:val="center"/>
      </w:pPr>
      <w:r>
        <w:drawing>
          <wp:inline xmlns:a="http://schemas.openxmlformats.org/drawingml/2006/main" xmlns:pic="http://schemas.openxmlformats.org/drawingml/2006/picture">
            <wp:extent cx="6035040" cy="3019501"/>
            <wp:docPr id="12" name="Picture 12" descr="图 6 ETT 外部基准不同数值模型的预测误差"/>
            <wp:cNvGraphicFramePr>
              <a:graphicFrameLocks noChangeAspect="1"/>
            </wp:cNvGraphicFramePr>
            <a:graphic>
              <a:graphicData uri="http://schemas.openxmlformats.org/drawingml/2006/picture">
                <pic:pic>
                  <pic:nvPicPr>
                    <pic:cNvPr id="0" name="fig06_ett_external_results.png"/>
                    <pic:cNvPicPr/>
                  </pic:nvPicPr>
                  <pic:blipFill>
                    <a:blip r:embed="rId22"/>
                    <a:stretch>
                      <a:fillRect/>
                    </a:stretch>
                  </pic:blipFill>
                  <pic:spPr>
                    <a:xfrm>
                      <a:off x="0" y="0"/>
                      <a:ext cx="6035040" cy="3019501"/>
                    </a:xfrm>
                    <a:prstGeom prst="rect"/>
                  </pic:spPr>
                </pic:pic>
              </a:graphicData>
            </a:graphic>
          </wp:inline>
        </w:drawing>
      </w:r>
    </w:p>
    <w:p>
      <w:pPr>
        <w:pStyle w:val="Caption"/>
        <w:keepNext w:val="0"/>
        <w:jc w:val="center"/>
      </w:pPr>
      <w:r>
        <w:t>图 6 ETT 外部基准不同数值模型的预测误差</w:t>
      </w:r>
    </w:p>
    <w:p>
      <w:pPr>
        <w:keepNext/>
        <w:jc w:val="center"/>
      </w:pPr>
      <w:r>
        <w:drawing>
          <wp:inline xmlns:a="http://schemas.openxmlformats.org/drawingml/2006/main" xmlns:pic="http://schemas.openxmlformats.org/drawingml/2006/picture">
            <wp:extent cx="6035040" cy="3503834"/>
            <wp:docPr id="13" name="Picture 13" descr="图 7 ETT 深度模型三次随机种子稳定性"/>
            <wp:cNvGraphicFramePr>
              <a:graphicFrameLocks noChangeAspect="1"/>
            </wp:cNvGraphicFramePr>
            <a:graphic>
              <a:graphicData uri="http://schemas.openxmlformats.org/drawingml/2006/picture">
                <pic:pic>
                  <pic:nvPicPr>
                    <pic:cNvPr id="0" name="fig07_seed_stability.png"/>
                    <pic:cNvPicPr/>
                  </pic:nvPicPr>
                  <pic:blipFill>
                    <a:blip r:embed="rId23"/>
                    <a:stretch>
                      <a:fillRect/>
                    </a:stretch>
                  </pic:blipFill>
                  <pic:spPr>
                    <a:xfrm>
                      <a:off x="0" y="0"/>
                      <a:ext cx="6035040" cy="3503834"/>
                    </a:xfrm>
                    <a:prstGeom prst="rect"/>
                  </pic:spPr>
                </pic:pic>
              </a:graphicData>
            </a:graphic>
          </wp:inline>
        </w:drawing>
      </w:r>
    </w:p>
    <w:p>
      <w:pPr>
        <w:pStyle w:val="Caption"/>
        <w:keepNext w:val="0"/>
        <w:jc w:val="center"/>
      </w:pPr>
      <w:r>
        <w:t>图 7 ETT 深度模型三次随机种子稳定性</w:t>
      </w:r>
    </w:p>
    <w:p>
      <w:pPr>
        <w:pStyle w:val="Heading1"/>
        <w:keepNext/>
      </w:pPr>
      <w:r>
        <w:t>8 稳健性与误差分析</w:t>
      </w:r>
    </w:p>
    <w:p>
      <w:pPr>
        <w:pStyle w:val="Heading2"/>
        <w:keepNext/>
      </w:pPr>
      <w:r>
        <w:t>8.1 输入扰动</w:t>
      </w:r>
    </w:p>
    <w:p>
      <w:pPr>
        <w:pStyle w:val="Caption"/>
        <w:keepNext w:val="0"/>
        <w:jc w:val="center"/>
      </w:pPr>
      <w:r>
        <w:t>表 6 PatchTST 在六项 ETT 任务上的平均相对退化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880"/>
            <w:shd w:fill="234E70"/>
            <w:vAlign w:val="center"/>
            <w:tcMar>
              <w:top w:w="90" w:type="dxa"/>
              <w:start w:w="100" w:type="dxa"/>
              <w:bottom w:w="90" w:type="dxa"/>
              <w:end w:w="100" w:type="dxa"/>
            </w:tcMar>
          </w:tcPr>
          <w:p>
            <w:pPr>
              <w:jc w:val="center"/>
            </w:pPr>
            <w:r>
              <w:rPr>
                <w:b/>
                <w:color w:val="FFFFFF"/>
                <w:sz w:val="18"/>
              </w:rPr>
              <w:t>扰动</w:t>
            </w:r>
          </w:p>
        </w:tc>
        <w:tc>
          <w:tcPr>
            <w:tcW w:type="dxa" w:w="2016"/>
            <w:shd w:fill="234E70"/>
            <w:vAlign w:val="center"/>
            <w:tcMar>
              <w:top w:w="90" w:type="dxa"/>
              <w:start w:w="100" w:type="dxa"/>
              <w:bottom w:w="90" w:type="dxa"/>
              <w:end w:w="100" w:type="dxa"/>
            </w:tcMar>
          </w:tcPr>
          <w:p>
            <w:pPr>
              <w:jc w:val="center"/>
            </w:pPr>
            <w:r>
              <w:rPr>
                <w:b/>
                <w:color w:val="FFFFFF"/>
                <w:sz w:val="18"/>
              </w:rPr>
              <w:t>平均MSE退化</w:t>
            </w:r>
          </w:p>
        </w:tc>
        <w:tc>
          <w:tcPr>
            <w:tcW w:type="dxa" w:w="4320"/>
            <w:shd w:fill="234E70"/>
            <w:vAlign w:val="center"/>
            <w:tcMar>
              <w:top w:w="90" w:type="dxa"/>
              <w:start w:w="100" w:type="dxa"/>
              <w:bottom w:w="90" w:type="dxa"/>
              <w:end w:w="100" w:type="dxa"/>
            </w:tcMar>
          </w:tcPr>
          <w:p>
            <w:pPr>
              <w:jc w:val="center"/>
            </w:pPr>
            <w:r>
              <w:rPr>
                <w:b/>
                <w:color w:val="FFFFFF"/>
                <w:sz w:val="18"/>
              </w:rPr>
              <w:t>解释</w:t>
            </w:r>
          </w:p>
        </w:tc>
      </w:tr>
      <w:tr>
        <w:tc>
          <w:tcPr>
            <w:tcW w:type="dxa" w:w="2880"/>
            <w:vAlign w:val="center"/>
            <w:tcMar>
              <w:top w:w="90" w:type="dxa"/>
              <w:start w:w="100" w:type="dxa"/>
              <w:bottom w:w="90" w:type="dxa"/>
              <w:end w:w="100" w:type="dxa"/>
            </w:tcMar>
          </w:tcPr>
          <w:p>
            <w:pPr>
              <w:jc w:val="center"/>
            </w:pPr>
            <w:r>
              <w:rPr>
                <w:sz w:val="18"/>
              </w:rPr>
              <w:t>高斯噪声 σ=0.10</w:t>
            </w:r>
          </w:p>
        </w:tc>
        <w:tc>
          <w:tcPr>
            <w:tcW w:type="dxa" w:w="2016"/>
            <w:vAlign w:val="center"/>
            <w:tcMar>
              <w:top w:w="90" w:type="dxa"/>
              <w:start w:w="100" w:type="dxa"/>
              <w:bottom w:w="90" w:type="dxa"/>
              <w:end w:w="100" w:type="dxa"/>
            </w:tcMar>
          </w:tcPr>
          <w:p>
            <w:pPr>
              <w:jc w:val="center"/>
            </w:pPr>
            <w:r>
              <w:rPr>
                <w:sz w:val="18"/>
              </w:rPr>
              <w:t>3.31%</w:t>
            </w:r>
          </w:p>
        </w:tc>
        <w:tc>
          <w:tcPr>
            <w:tcW w:type="dxa" w:w="4320"/>
            <w:vAlign w:val="center"/>
            <w:tcMar>
              <w:top w:w="90" w:type="dxa"/>
              <w:start w:w="100" w:type="dxa"/>
              <w:bottom w:w="90" w:type="dxa"/>
              <w:end w:w="100" w:type="dxa"/>
            </w:tcMar>
          </w:tcPr>
          <w:p>
            <w:pPr>
              <w:jc w:val="center"/>
            </w:pPr>
            <w:r>
              <w:rPr>
                <w:sz w:val="18"/>
              </w:rPr>
              <w:t>轻度退化</w:t>
            </w:r>
          </w:p>
        </w:tc>
      </w:tr>
      <w:tr>
        <w:tc>
          <w:tcPr>
            <w:tcW w:type="dxa" w:w="2880"/>
            <w:shd w:fill="EFF5F8"/>
            <w:vAlign w:val="center"/>
            <w:tcMar>
              <w:top w:w="90" w:type="dxa"/>
              <w:start w:w="100" w:type="dxa"/>
              <w:bottom w:w="90" w:type="dxa"/>
              <w:end w:w="100" w:type="dxa"/>
            </w:tcMar>
          </w:tcPr>
          <w:p>
            <w:pPr>
              <w:jc w:val="center"/>
            </w:pPr>
            <w:r>
              <w:rPr>
                <w:sz w:val="18"/>
              </w:rPr>
              <w:t>随机缺失 10%</w:t>
            </w:r>
          </w:p>
        </w:tc>
        <w:tc>
          <w:tcPr>
            <w:tcW w:type="dxa" w:w="2016"/>
            <w:shd w:fill="EFF5F8"/>
            <w:vAlign w:val="center"/>
            <w:tcMar>
              <w:top w:w="90" w:type="dxa"/>
              <w:start w:w="100" w:type="dxa"/>
              <w:bottom w:w="90" w:type="dxa"/>
              <w:end w:w="100" w:type="dxa"/>
            </w:tcMar>
          </w:tcPr>
          <w:p>
            <w:pPr>
              <w:jc w:val="center"/>
            </w:pPr>
            <w:r>
              <w:rPr>
                <w:sz w:val="18"/>
              </w:rPr>
              <w:t>1.68%</w:t>
            </w:r>
          </w:p>
        </w:tc>
        <w:tc>
          <w:tcPr>
            <w:tcW w:type="dxa" w:w="4320"/>
            <w:shd w:fill="EFF5F8"/>
            <w:vAlign w:val="center"/>
            <w:tcMar>
              <w:top w:w="90" w:type="dxa"/>
              <w:start w:w="100" w:type="dxa"/>
              <w:bottom w:w="90" w:type="dxa"/>
              <w:end w:w="100" w:type="dxa"/>
            </w:tcMar>
          </w:tcPr>
          <w:p>
            <w:pPr>
              <w:jc w:val="center"/>
            </w:pPr>
            <w:r>
              <w:rPr>
                <w:sz w:val="18"/>
              </w:rPr>
              <w:t>前向填补后较稳</w:t>
            </w:r>
          </w:p>
        </w:tc>
      </w:tr>
      <w:tr>
        <w:tc>
          <w:tcPr>
            <w:tcW w:type="dxa" w:w="2880"/>
            <w:vAlign w:val="center"/>
            <w:tcMar>
              <w:top w:w="90" w:type="dxa"/>
              <w:start w:w="100" w:type="dxa"/>
              <w:bottom w:w="90" w:type="dxa"/>
              <w:end w:w="100" w:type="dxa"/>
            </w:tcMar>
          </w:tcPr>
          <w:p>
            <w:pPr>
              <w:jc w:val="center"/>
            </w:pPr>
            <w:r>
              <w:rPr>
                <w:sz w:val="18"/>
              </w:rPr>
              <w:t>末段连续缺失 12步</w:t>
            </w:r>
          </w:p>
        </w:tc>
        <w:tc>
          <w:tcPr>
            <w:tcW w:type="dxa" w:w="2016"/>
            <w:vAlign w:val="center"/>
            <w:tcMar>
              <w:top w:w="90" w:type="dxa"/>
              <w:start w:w="100" w:type="dxa"/>
              <w:bottom w:w="90" w:type="dxa"/>
              <w:end w:w="100" w:type="dxa"/>
            </w:tcMar>
          </w:tcPr>
          <w:p>
            <w:pPr>
              <w:jc w:val="center"/>
            </w:pPr>
            <w:r>
              <w:rPr>
                <w:sz w:val="18"/>
              </w:rPr>
              <w:t>24.59%</w:t>
            </w:r>
          </w:p>
        </w:tc>
        <w:tc>
          <w:tcPr>
            <w:tcW w:type="dxa" w:w="4320"/>
            <w:vAlign w:val="center"/>
            <w:tcMar>
              <w:top w:w="90" w:type="dxa"/>
              <w:start w:w="100" w:type="dxa"/>
              <w:bottom w:w="90" w:type="dxa"/>
              <w:end w:w="100" w:type="dxa"/>
            </w:tcMar>
          </w:tcPr>
          <w:p>
            <w:pPr>
              <w:jc w:val="center"/>
            </w:pPr>
            <w:r>
              <w:rPr>
                <w:sz w:val="18"/>
              </w:rPr>
              <w:t>依赖最新观测</w:t>
            </w:r>
          </w:p>
        </w:tc>
      </w:tr>
      <w:tr>
        <w:tc>
          <w:tcPr>
            <w:tcW w:type="dxa" w:w="2880"/>
            <w:shd w:fill="EFF5F8"/>
            <w:vAlign w:val="center"/>
            <w:tcMar>
              <w:top w:w="90" w:type="dxa"/>
              <w:start w:w="100" w:type="dxa"/>
              <w:bottom w:w="90" w:type="dxa"/>
              <w:end w:w="100" w:type="dxa"/>
            </w:tcMar>
          </w:tcPr>
          <w:p>
            <w:pPr>
              <w:jc w:val="center"/>
            </w:pPr>
            <w:r>
              <w:rPr>
                <w:sz w:val="18"/>
              </w:rPr>
              <w:t>尖峰污染 2%×3σ</w:t>
            </w:r>
          </w:p>
        </w:tc>
        <w:tc>
          <w:tcPr>
            <w:tcW w:type="dxa" w:w="2016"/>
            <w:shd w:fill="EFF5F8"/>
            <w:vAlign w:val="center"/>
            <w:tcMar>
              <w:top w:w="90" w:type="dxa"/>
              <w:start w:w="100" w:type="dxa"/>
              <w:bottom w:w="90" w:type="dxa"/>
              <w:end w:w="100" w:type="dxa"/>
            </w:tcMar>
          </w:tcPr>
          <w:p>
            <w:pPr>
              <w:jc w:val="center"/>
            </w:pPr>
            <w:r>
              <w:rPr>
                <w:sz w:val="18"/>
              </w:rPr>
              <w:t>84.38%</w:t>
            </w:r>
          </w:p>
        </w:tc>
        <w:tc>
          <w:tcPr>
            <w:tcW w:type="dxa" w:w="4320"/>
            <w:shd w:fill="EFF5F8"/>
            <w:vAlign w:val="center"/>
            <w:tcMar>
              <w:top w:w="90" w:type="dxa"/>
              <w:start w:w="100" w:type="dxa"/>
              <w:bottom w:w="90" w:type="dxa"/>
              <w:end w:w="100" w:type="dxa"/>
            </w:tcMar>
          </w:tcPr>
          <w:p>
            <w:pPr>
              <w:jc w:val="center"/>
            </w:pPr>
            <w:r>
              <w:rPr>
                <w:sz w:val="18"/>
              </w:rPr>
              <w:t>最主要稳健性风险</w:t>
            </w:r>
          </w:p>
        </w:tc>
      </w:tr>
    </w:tbl>
    <w:p>
      <w:pPr>
        <w:spacing w:after="40"/>
      </w:pPr>
    </w:p>
    <w:p>
      <w:pPr>
        <w:spacing w:line="348" w:lineRule="auto" w:after="100"/>
        <w:ind w:firstLine="480"/>
      </w:pPr>
      <w:r>
        <w:t>轻度分散噪声和随机缺失不会改变 PatchTST 的总体可用性，但局部尖峰会显著放大误差。末段连续缺失也造成明显退化，因为预测最依赖靠近起点的观测。后续系统应在进入数值骨干前增加训练期估计的稳健尺度裁剪和异常掩码，并在末段缺失时扩大季节专家权重。</w:t>
      </w:r>
    </w:p>
    <w:p>
      <w:pPr>
        <w:keepNext/>
        <w:jc w:val="center"/>
      </w:pPr>
      <w:r>
        <w:drawing>
          <wp:inline xmlns:a="http://schemas.openxmlformats.org/drawingml/2006/main" xmlns:pic="http://schemas.openxmlformats.org/drawingml/2006/picture">
            <wp:extent cx="6035040" cy="3429832"/>
            <wp:docPr id="14" name="Picture 14" descr="图 8 PatchTST 数值骨干的输入扰动稳健性"/>
            <wp:cNvGraphicFramePr>
              <a:graphicFrameLocks noChangeAspect="1"/>
            </wp:cNvGraphicFramePr>
            <a:graphic>
              <a:graphicData uri="http://schemas.openxmlformats.org/drawingml/2006/picture">
                <pic:pic>
                  <pic:nvPicPr>
                    <pic:cNvPr id="0" name="fig09_input_robustness.png"/>
                    <pic:cNvPicPr/>
                  </pic:nvPicPr>
                  <pic:blipFill>
                    <a:blip r:embed="rId24"/>
                    <a:stretch>
                      <a:fillRect/>
                    </a:stretch>
                  </pic:blipFill>
                  <pic:spPr>
                    <a:xfrm>
                      <a:off x="0" y="0"/>
                      <a:ext cx="6035040" cy="3429832"/>
                    </a:xfrm>
                    <a:prstGeom prst="rect"/>
                  </pic:spPr>
                </pic:pic>
              </a:graphicData>
            </a:graphic>
          </wp:inline>
        </w:drawing>
      </w:r>
    </w:p>
    <w:p>
      <w:pPr>
        <w:pStyle w:val="Caption"/>
        <w:keepNext w:val="0"/>
        <w:jc w:val="center"/>
      </w:pPr>
      <w:r>
        <w:t>图 8 PatchTST 数值骨干的输入扰动稳健性</w:t>
      </w:r>
    </w:p>
    <w:p>
      <w:pPr>
        <w:pStyle w:val="Heading2"/>
        <w:keepNext/>
      </w:pPr>
      <w:r>
        <w:t>8.2 领域漂移</w:t>
      </w:r>
    </w:p>
    <w:p>
      <w:pPr>
        <w:spacing w:line="348" w:lineRule="auto" w:after="100"/>
        <w:ind w:firstLine="480"/>
      </w:pPr>
      <w:r>
        <w:t>Security 测试段目标超出训练段主要范围，三种跨度 MSE 都很高。安全回退只保证不额外采用有害文本，不能解决目标本身的制度变化。Agriculture 的 report 来源在训练和验证阶段无覆盖，而测试阶段覆盖约 56% 至 60%，来源分布切换进一步削弱语义校正的可迁移性。</w:t>
      </w:r>
    </w:p>
    <w:p>
      <w:pPr>
        <w:keepNext/>
        <w:jc w:val="center"/>
      </w:pPr>
      <w:r>
        <w:drawing>
          <wp:inline xmlns:a="http://schemas.openxmlformats.org/drawingml/2006/main" xmlns:pic="http://schemas.openxmlformats.org/drawingml/2006/picture">
            <wp:extent cx="6035040" cy="3028390"/>
            <wp:docPr id="15" name="Picture 15" descr="图 9 Security 目标序列的末段分布漂移"/>
            <wp:cNvGraphicFramePr>
              <a:graphicFrameLocks noChangeAspect="1"/>
            </wp:cNvGraphicFramePr>
            <a:graphic>
              <a:graphicData uri="http://schemas.openxmlformats.org/drawingml/2006/picture">
                <pic:pic>
                  <pic:nvPicPr>
                    <pic:cNvPr id="0" name="fig08_security_distribution_shift.png"/>
                    <pic:cNvPicPr/>
                  </pic:nvPicPr>
                  <pic:blipFill>
                    <a:blip r:embed="rId25"/>
                    <a:stretch>
                      <a:fillRect/>
                    </a:stretch>
                  </pic:blipFill>
                  <pic:spPr>
                    <a:xfrm>
                      <a:off x="0" y="0"/>
                      <a:ext cx="6035040" cy="3028390"/>
                    </a:xfrm>
                    <a:prstGeom prst="rect"/>
                  </pic:spPr>
                </pic:pic>
              </a:graphicData>
            </a:graphic>
          </wp:inline>
        </w:drawing>
      </w:r>
    </w:p>
    <w:p>
      <w:pPr>
        <w:pStyle w:val="Caption"/>
        <w:keepNext w:val="0"/>
        <w:jc w:val="center"/>
      </w:pPr>
      <w:r>
        <w:t>图 9 Security 目标序列的末段分布漂移</w:t>
      </w:r>
    </w:p>
    <w:p>
      <w:pPr>
        <w:pStyle w:val="Heading2"/>
        <w:keepNext/>
      </w:pPr>
      <w:r>
        <w:t>8.3 误差解释边界</w:t>
      </w:r>
    </w:p>
    <w:p>
      <w:pPr>
        <w:spacing w:line="348" w:lineRule="auto" w:after="100"/>
        <w:ind w:firstLine="480"/>
      </w:pPr>
      <w:r>
        <w:t>本文观察到的是预测关联，不是文本事件对数值目标的因果效应。Traffic 中的改善只能说明当前时点索引和任务协议下文本提供了可利用增量；未进行干预或工具变量设计，不能把某条新闻解释为目标变化的原因。Bootstrap 区间反映当前预测原点的不确定性，也不代表跨年份或跨地区外部有效性。</w:t>
      </w:r>
    </w:p>
    <w:p>
      <w:pPr>
        <w:pStyle w:val="Heading1"/>
        <w:keepNext/>
      </w:pPr>
      <w:r>
        <w:t>9 系统实现与可复现性</w:t>
      </w:r>
    </w:p>
    <w:p>
      <w:pPr>
        <w:pStyle w:val="Heading2"/>
        <w:keepNext/>
      </w:pPr>
      <w:r>
        <w:t>9.1 文件结构</w:t>
      </w:r>
    </w:p>
    <w:p>
      <w:pPr>
        <w:spacing w:line="348" w:lineRule="auto" w:after="100"/>
        <w:ind w:firstLine="480"/>
      </w:pPr>
      <w:r>
        <w:t>项目按原始数据、处理数据、正式代码、输出表格、输出图形、模型文件、日志、论文和参考资料分层。数据处理不覆盖原始 CSV；每个实验目录保存配置 JSON、逐次指标、汇总指标、预测或原点误差和模型参数。最终主张由 summarize_results.py 从实验产物重新计算，避免手工抄录。</w:t>
      </w:r>
    </w:p>
    <w:p>
      <w:pPr>
        <w:pStyle w:val="Heading2"/>
        <w:keepNext/>
      </w:pPr>
      <w:r>
        <w:t>9.2 运行顺序</w:t>
      </w:r>
    </w:p>
    <w:p>
      <w:pPr>
        <w:pStyle w:val="ListBullet"/>
        <w:spacing w:line="324" w:lineRule="auto" w:after="60"/>
      </w:pPr>
      <w:r>
        <w:t>先运行数据审计和文本索引，核验时间顺序与 fact 截止条件。</w:t>
      </w:r>
    </w:p>
    <w:p>
      <w:pPr>
        <w:pStyle w:val="ListBullet"/>
        <w:spacing w:line="324" w:lineRule="auto" w:after="60"/>
      </w:pPr>
      <w:r>
        <w:t>生成冻结 MiniLM 向量和逐预测起点语义缓存。</w:t>
      </w:r>
    </w:p>
    <w:p>
      <w:pPr>
        <w:pStyle w:val="ListBullet"/>
        <w:spacing w:line="324" w:lineRule="auto" w:after="60"/>
      </w:pPr>
      <w:r>
        <w:t>运行传统基线、DLinear、PatchTST 与语义探针。</w:t>
      </w:r>
    </w:p>
    <w:p>
      <w:pPr>
        <w:pStyle w:val="ListBullet"/>
        <w:spacing w:line="324" w:lineRule="auto" w:after="60"/>
      </w:pPr>
      <w:r>
        <w:t>按冻结协议运行 SafeFAME 选择和未见领域确认。</w:t>
      </w:r>
    </w:p>
    <w:p>
      <w:pPr>
        <w:pStyle w:val="ListBullet"/>
        <w:spacing w:line="324" w:lineRule="auto" w:after="60"/>
      </w:pPr>
      <w:r>
        <w:t>运行 ETT 外部基准、输入扰动、结果汇总和图表生成。</w:t>
      </w:r>
    </w:p>
    <w:p>
      <w:pPr>
        <w:pStyle w:val="Heading2"/>
        <w:keepNext/>
      </w:pPr>
      <w:r>
        <w:t>9.3 结果看板</w:t>
      </w:r>
    </w:p>
    <w:p>
      <w:pPr>
        <w:spacing w:line="348" w:lineRule="auto" w:after="100"/>
        <w:ind w:firstLine="480"/>
      </w:pPr>
      <w:r>
        <w:t>静态结果看板提供总览、开发回测筛选、冻结确认、ETT 基准和方法边界五个视图。站点只包含经过汇总脚本核验的数值，不连接训练环境或个人文件。发布版本保持私有，便于课程检查时展示证据，同时不替代正式报告和附件。</w:t>
      </w:r>
    </w:p>
    <w:p>
      <w:pPr>
        <w:pStyle w:val="Heading1"/>
        <w:keepNext/>
      </w:pPr>
      <w:r>
        <w:t>10 结论与局限</w:t>
      </w:r>
    </w:p>
    <w:p>
      <w:pPr>
        <w:pStyle w:val="Heading2"/>
        <w:keepNext/>
      </w:pPr>
      <w:r>
        <w:t>10.1 主要结论</w:t>
      </w:r>
    </w:p>
    <w:p>
      <w:pPr>
        <w:pStyle w:val="ListBullet"/>
        <w:spacing w:line="324" w:lineRule="auto" w:after="60"/>
      </w:pPr>
      <w:r>
        <w:t>严格时点对齐后，开发领域的文本收益高度条件化。12 项任务中只有 Traffic H=6 和 H=12 超过最强数值基线。</w:t>
      </w:r>
    </w:p>
    <w:p>
      <w:pPr>
        <w:pStyle w:val="ListBullet"/>
        <w:spacing w:line="324" w:lineRule="auto" w:after="60"/>
      </w:pPr>
      <w:r>
        <w:t>正确对齐文本仅在 Traffic 的三个跨度优于置换文本，说明反事实置换是识别真实时序增量的必要检验。</w:t>
      </w:r>
    </w:p>
    <w:p>
      <w:pPr>
        <w:pStyle w:val="ListBullet"/>
        <w:spacing w:line="324" w:lineRule="auto" w:after="60"/>
      </w:pPr>
      <w:r>
        <w:t>冻结确认集没有复现语义精度增益，但安全选择器拒绝 6/6 个有害语义路径，确认了负迁移防护价值。</w:t>
      </w:r>
    </w:p>
    <w:p>
      <w:pPr>
        <w:pStyle w:val="ListBullet"/>
        <w:spacing w:line="324" w:lineRule="auto" w:after="60"/>
      </w:pPr>
      <w:r>
        <w:t>PatchTST 数值骨干在六项 ETT 单目标任务中全部获胜，平均改善 12.69%，但对尖峰和连续末段缺失敏感。</w:t>
      </w:r>
    </w:p>
    <w:p>
      <w:pPr>
        <w:pStyle w:val="Heading2"/>
        <w:keepNext/>
      </w:pPr>
      <w:r>
        <w:t>10.2 创新点</w:t>
      </w:r>
    </w:p>
    <w:p>
      <w:pPr>
        <w:spacing w:line="348" w:lineRule="auto" w:after="100"/>
        <w:ind w:firstLine="480"/>
      </w:pPr>
      <w:r>
        <w:t>本文的创新集中在实验逻辑而非模型堆叠。其一，把文本发布日期写成可执行的信息约束，并对预测型字段做显式排除；其二，以置换文本构造保持边际分布的反事实基线；其三，用验证期总体、前后半段和置换比较共同决定是否启用语义路径；其四，先冻结规则再进入未见领域，允许出现并报告否定性确认结果。</w:t>
      </w:r>
    </w:p>
    <w:p>
      <w:pPr>
        <w:pStyle w:val="Heading2"/>
        <w:keepNext/>
      </w:pPr>
      <w:r>
        <w:t>10.3 局限与改进</w:t>
      </w:r>
    </w:p>
    <w:p>
      <w:pPr>
        <w:spacing w:line="348" w:lineRule="auto" w:after="100"/>
        <w:ind w:firstLine="480"/>
      </w:pPr>
      <w:r>
        <w:t>研究范围仍有限。确认领域只有两个，文本来源在 Agriculture 存在覆盖切换，Security 存在强目标漂移；当前融合头主要检验线性语义增量，未覆盖复杂的事件实体关系；文本编码器以英文通用句向量为主，领域术语表达可能不足；稳健性实验显示尖峰污染是明显弱点。下一步应在不修改确认结果的前提下增加更多未见领域、基于训练统计的异常抑制、来源不变表示和按年份滚动外部验证。</w:t>
      </w:r>
    </w:p>
    <w:p>
      <w:pPr>
        <w:pStyle w:val="Heading1"/>
        <w:keepNext/>
      </w:pPr>
      <w:r>
        <w:t>参考文献</w:t>
      </w:r>
    </w:p>
    <w:p>
      <w:pPr>
        <w:spacing w:line="288" w:lineRule="auto" w:after="80"/>
        <w:ind w:left="360" w:hanging="360"/>
      </w:pPr>
      <w:r>
        <w:t>[1] Liu H, Xu S, Zhao Z, et al. Time-MMD: Multi-Domain Multimodal Dataset for Time Series Analysis. Advances in Neural Information Processing Systems 37, 2024. DOI: 10.52202/079017-2476.</w:t>
      </w:r>
    </w:p>
    <w:p>
      <w:pPr>
        <w:spacing w:line="288" w:lineRule="auto" w:after="80"/>
        <w:ind w:left="360" w:hanging="360"/>
      </w:pPr>
      <w:r>
        <w:t>[2] Nie Y, Nguyen N H, Sinthong P, Kalagnanam J. A Time Series is Worth 64 Words: Long-term Forecasting with Transformers. International Conference on Learning Representations, 2023.</w:t>
      </w:r>
    </w:p>
    <w:p>
      <w:pPr>
        <w:spacing w:line="288" w:lineRule="auto" w:after="80"/>
        <w:ind w:left="360" w:hanging="360"/>
      </w:pPr>
      <w:r>
        <w:t>[3] Zeng A, Chen M, Zhang L, Xu Q. Are Transformers Effective for Time Series Forecasting? Proceedings of the AAAI Conference on Artificial Intelligence, 37(9):11121-11128, 2023. DOI: 10.1609/aaai.v37i9.26317.</w:t>
      </w:r>
    </w:p>
    <w:p>
      <w:pPr>
        <w:spacing w:line="288" w:lineRule="auto" w:after="80"/>
        <w:ind w:left="360" w:hanging="360"/>
      </w:pPr>
      <w:r>
        <w:t>[4] Wang W, Wei F, Dong L, et al. MiniLM: Deep Self-Attention Distillation for Task-Agnostic Compression of Pre-Trained Transformers. Advances in Neural Information Processing Systems 33, 2020.</w:t>
      </w:r>
    </w:p>
    <w:p>
      <w:pPr>
        <w:spacing w:line="288" w:lineRule="auto" w:after="80"/>
        <w:ind w:left="360" w:hanging="360"/>
      </w:pPr>
      <w:r>
        <w:t>[5] Reimers N, Gurevych I. Sentence-BERT: Sentence Embeddings using Siamese BERT-Networks. EMNLP-IJCNLP, 3982-3992, 2019. DOI: 10.18653/v1/D19-1410.</w:t>
      </w:r>
    </w:p>
    <w:p>
      <w:pPr>
        <w:spacing w:line="288" w:lineRule="auto" w:after="80"/>
        <w:ind w:left="360" w:hanging="360"/>
      </w:pPr>
      <w:r>
        <w:t>[6] Liu C, Xu Q, Miao H, et al. TimeCMA: Towards LLM-Empowered Multivariate Time Series Forecasting via Cross-Modality Alignment. arXiv:2406.01638, 2024.</w:t>
      </w:r>
    </w:p>
    <w:p>
      <w:pPr>
        <w:spacing w:line="288" w:lineRule="auto" w:after="80"/>
        <w:ind w:left="360" w:hanging="360"/>
      </w:pPr>
      <w:r>
        <w:t>[7] Paszke A, Gross S, Massa F, et al. PyTorch: An Imperative Style, High-Performance Deep Learning Library. Advances in Neural Information Processing Systems 32, 2019.</w:t>
      </w:r>
    </w:p>
    <w:p>
      <w:pPr>
        <w:spacing w:line="288" w:lineRule="auto" w:after="80"/>
        <w:ind w:left="360" w:hanging="360"/>
      </w:pPr>
      <w:r>
        <w:t>[8] Pedregosa F, Varoquaux G, Gramfort A, et al. Scikit-learn: Machine Learning in Python. Journal of Machine Learning Research, 12:2825-2830, 2011.</w:t>
      </w:r>
    </w:p>
    <w:p>
      <w:pPr>
        <w:pStyle w:val="Heading1"/>
        <w:keepNext/>
      </w:pPr>
      <w:r>
        <w:t>附录 A 交付文件</w:t>
      </w:r>
    </w:p>
    <w:p>
      <w:pPr>
        <w:pStyle w:val="ListBullet"/>
        <w:spacing w:line="324" w:lineRule="auto" w:after="60"/>
      </w:pPr>
      <w:r>
        <w:t>正式报告 DOCX 与 PDF。</w:t>
      </w:r>
    </w:p>
    <w:p>
      <w:pPr>
        <w:pStyle w:val="ListBullet"/>
        <w:spacing w:line="324" w:lineRule="auto" w:after="60"/>
      </w:pPr>
      <w:r>
        <w:t>src 目录中的完整 Python 源代码与统一依赖文件。</w:t>
      </w:r>
    </w:p>
    <w:p>
      <w:pPr>
        <w:pStyle w:val="ListBullet"/>
        <w:spacing w:line="324" w:lineRule="auto" w:after="60"/>
      </w:pPr>
      <w:r>
        <w:t>data_processed 中的文本索引、语义向量元数据和时点特征缓存。</w:t>
      </w:r>
    </w:p>
    <w:p>
      <w:pPr>
        <w:pStyle w:val="ListBullet"/>
        <w:spacing w:line="324" w:lineRule="auto" w:after="60"/>
      </w:pPr>
      <w:r>
        <w:t>outputs 中的逐次指标、模型参数、训练日志、预测样本、最终表格和九组 PNG PDF 图。</w:t>
      </w:r>
    </w:p>
    <w:p>
      <w:pPr>
        <w:pStyle w:val="ListBullet"/>
        <w:spacing w:line="324" w:lineRule="auto" w:after="60"/>
      </w:pPr>
      <w:r>
        <w:t>docs 中的课程要求、选题方案、数据审计、协议冻结、确认结果和文献核验记录。</w:t>
      </w:r>
    </w:p>
    <w:p>
      <w:pPr>
        <w:pStyle w:val="ListBullet"/>
        <w:spacing w:line="324" w:lineRule="auto" w:after="60"/>
      </w:pPr>
      <w:r>
        <w:t>prototype 中的私有结果看板源文件与托管清单。</w:t>
      </w:r>
    </w:p>
    <w:p>
      <w:pPr>
        <w:pStyle w:val="Heading1"/>
        <w:keepNext/>
      </w:pPr>
      <w:r>
        <w:t>附录 B 审稿式检查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440"/>
            <w:shd w:fill="234E70"/>
            <w:vAlign w:val="center"/>
            <w:tcMar>
              <w:top w:w="90" w:type="dxa"/>
              <w:start w:w="100" w:type="dxa"/>
              <w:bottom w:w="90" w:type="dxa"/>
              <w:end w:w="100" w:type="dxa"/>
            </w:tcMar>
          </w:tcPr>
          <w:p>
            <w:pPr>
              <w:jc w:val="center"/>
            </w:pPr>
            <w:r>
              <w:rPr>
                <w:b/>
                <w:color w:val="FFFFFF"/>
                <w:sz w:val="17"/>
              </w:rPr>
              <w:t>检查项</w:t>
            </w:r>
          </w:p>
        </w:tc>
        <w:tc>
          <w:tcPr>
            <w:tcW w:type="dxa" w:w="6912"/>
            <w:shd w:fill="234E70"/>
            <w:vAlign w:val="center"/>
            <w:tcMar>
              <w:top w:w="90" w:type="dxa"/>
              <w:start w:w="100" w:type="dxa"/>
              <w:bottom w:w="90" w:type="dxa"/>
              <w:end w:w="100" w:type="dxa"/>
            </w:tcMar>
          </w:tcPr>
          <w:p>
            <w:pPr>
              <w:jc w:val="center"/>
            </w:pPr>
            <w:r>
              <w:rPr>
                <w:b/>
                <w:color w:val="FFFFFF"/>
                <w:sz w:val="17"/>
              </w:rPr>
              <w:t>核验内容</w:t>
            </w:r>
          </w:p>
        </w:tc>
        <w:tc>
          <w:tcPr>
            <w:tcW w:type="dxa" w:w="1008"/>
            <w:shd w:fill="234E70"/>
            <w:vAlign w:val="center"/>
            <w:tcMar>
              <w:top w:w="90" w:type="dxa"/>
              <w:start w:w="100" w:type="dxa"/>
              <w:bottom w:w="90" w:type="dxa"/>
              <w:end w:w="100" w:type="dxa"/>
            </w:tcMar>
          </w:tcPr>
          <w:p>
            <w:pPr>
              <w:jc w:val="center"/>
            </w:pPr>
            <w:r>
              <w:rPr>
                <w:b/>
                <w:color w:val="FFFFFF"/>
                <w:sz w:val="17"/>
              </w:rPr>
              <w:t>状态</w:t>
            </w:r>
          </w:p>
        </w:tc>
      </w:tr>
      <w:tr>
        <w:tc>
          <w:tcPr>
            <w:tcW w:type="dxa" w:w="1440"/>
            <w:vAlign w:val="center"/>
            <w:tcMar>
              <w:top w:w="90" w:type="dxa"/>
              <w:start w:w="100" w:type="dxa"/>
              <w:bottom w:w="90" w:type="dxa"/>
              <w:end w:w="100" w:type="dxa"/>
            </w:tcMar>
          </w:tcPr>
          <w:p>
            <w:pPr>
              <w:jc w:val="center"/>
            </w:pPr>
            <w:r>
              <w:rPr>
                <w:sz w:val="17"/>
              </w:rPr>
              <w:t>题意</w:t>
            </w:r>
          </w:p>
        </w:tc>
        <w:tc>
          <w:tcPr>
            <w:tcW w:type="dxa" w:w="6912"/>
            <w:vAlign w:val="center"/>
            <w:tcMar>
              <w:top w:w="90" w:type="dxa"/>
              <w:start w:w="100" w:type="dxa"/>
              <w:bottom w:w="90" w:type="dxa"/>
              <w:end w:w="100" w:type="dxa"/>
            </w:tcMar>
          </w:tcPr>
          <w:p>
            <w:pPr>
              <w:jc w:val="left"/>
            </w:pPr>
            <w:r>
              <w:rPr>
                <w:sz w:val="17"/>
              </w:rPr>
              <w:t>逐项覆盖问题描述 实验设计 算法 结果 图表 源码 数据与过程附件</w:t>
            </w:r>
          </w:p>
        </w:tc>
        <w:tc>
          <w:tcPr>
            <w:tcW w:type="dxa" w:w="1008"/>
            <w:vAlign w:val="center"/>
            <w:tcMar>
              <w:top w:w="90" w:type="dxa"/>
              <w:start w:w="100" w:type="dxa"/>
              <w:bottom w:w="90" w:type="dxa"/>
              <w:end w:w="100" w:type="dxa"/>
            </w:tcMar>
          </w:tcPr>
          <w:p>
            <w:pPr>
              <w:jc w:val="center"/>
            </w:pPr>
            <w:r>
              <w:rPr>
                <w:sz w:val="17"/>
              </w:rPr>
              <w:t>通过</w:t>
            </w:r>
          </w:p>
        </w:tc>
      </w:tr>
      <w:tr>
        <w:tc>
          <w:tcPr>
            <w:tcW w:type="dxa" w:w="1440"/>
            <w:shd w:fill="EFF5F8"/>
            <w:vAlign w:val="center"/>
            <w:tcMar>
              <w:top w:w="90" w:type="dxa"/>
              <w:start w:w="100" w:type="dxa"/>
              <w:bottom w:w="90" w:type="dxa"/>
              <w:end w:w="100" w:type="dxa"/>
            </w:tcMar>
          </w:tcPr>
          <w:p>
            <w:pPr>
              <w:jc w:val="center"/>
            </w:pPr>
            <w:r>
              <w:rPr>
                <w:sz w:val="17"/>
              </w:rPr>
              <w:t>数据</w:t>
            </w:r>
          </w:p>
        </w:tc>
        <w:tc>
          <w:tcPr>
            <w:tcW w:type="dxa" w:w="6912"/>
            <w:shd w:fill="EFF5F8"/>
            <w:vAlign w:val="center"/>
            <w:tcMar>
              <w:top w:w="90" w:type="dxa"/>
              <w:start w:w="100" w:type="dxa"/>
              <w:bottom w:w="90" w:type="dxa"/>
              <w:end w:w="100" w:type="dxa"/>
            </w:tcMar>
          </w:tcPr>
          <w:p>
            <w:pPr>
              <w:jc w:val="left"/>
            </w:pPr>
            <w:r>
              <w:rPr>
                <w:sz w:val="17"/>
              </w:rPr>
              <w:t>原始文件不覆盖 清洗有记录 时间严格升序 文本截止早于预测起点</w:t>
            </w:r>
          </w:p>
        </w:tc>
        <w:tc>
          <w:tcPr>
            <w:tcW w:type="dxa" w:w="1008"/>
            <w:shd w:fill="EFF5F8"/>
            <w:vAlign w:val="center"/>
            <w:tcMar>
              <w:top w:w="90" w:type="dxa"/>
              <w:start w:w="100" w:type="dxa"/>
              <w:bottom w:w="90" w:type="dxa"/>
              <w:end w:w="100" w:type="dxa"/>
            </w:tcMar>
          </w:tcPr>
          <w:p>
            <w:pPr>
              <w:jc w:val="center"/>
            </w:pPr>
            <w:r>
              <w:rPr>
                <w:sz w:val="17"/>
              </w:rPr>
              <w:t>通过</w:t>
            </w:r>
          </w:p>
        </w:tc>
      </w:tr>
      <w:tr>
        <w:tc>
          <w:tcPr>
            <w:tcW w:type="dxa" w:w="1440"/>
            <w:vAlign w:val="center"/>
            <w:tcMar>
              <w:top w:w="90" w:type="dxa"/>
              <w:start w:w="100" w:type="dxa"/>
              <w:bottom w:w="90" w:type="dxa"/>
              <w:end w:w="100" w:type="dxa"/>
            </w:tcMar>
          </w:tcPr>
          <w:p>
            <w:pPr>
              <w:jc w:val="center"/>
            </w:pPr>
            <w:r>
              <w:rPr>
                <w:sz w:val="17"/>
              </w:rPr>
              <w:t>模型</w:t>
            </w:r>
          </w:p>
        </w:tc>
        <w:tc>
          <w:tcPr>
            <w:tcW w:type="dxa" w:w="6912"/>
            <w:vAlign w:val="center"/>
            <w:tcMar>
              <w:top w:w="90" w:type="dxa"/>
              <w:start w:w="100" w:type="dxa"/>
              <w:bottom w:w="90" w:type="dxa"/>
              <w:end w:w="100" w:type="dxa"/>
            </w:tcMar>
          </w:tcPr>
          <w:p>
            <w:pPr>
              <w:jc w:val="left"/>
            </w:pPr>
            <w:r>
              <w:rPr>
                <w:sz w:val="17"/>
              </w:rPr>
              <w:t>包含简单基线 深度基线 消融 置换对照 冻结确认和稳健性</w:t>
            </w:r>
          </w:p>
        </w:tc>
        <w:tc>
          <w:tcPr>
            <w:tcW w:type="dxa" w:w="1008"/>
            <w:vAlign w:val="center"/>
            <w:tcMar>
              <w:top w:w="90" w:type="dxa"/>
              <w:start w:w="100" w:type="dxa"/>
              <w:bottom w:w="90" w:type="dxa"/>
              <w:end w:w="100" w:type="dxa"/>
            </w:tcMar>
          </w:tcPr>
          <w:p>
            <w:pPr>
              <w:jc w:val="center"/>
            </w:pPr>
            <w:r>
              <w:rPr>
                <w:sz w:val="17"/>
              </w:rPr>
              <w:t>通过</w:t>
            </w:r>
          </w:p>
        </w:tc>
      </w:tr>
      <w:tr>
        <w:tc>
          <w:tcPr>
            <w:tcW w:type="dxa" w:w="1440"/>
            <w:shd w:fill="EFF5F8"/>
            <w:vAlign w:val="center"/>
            <w:tcMar>
              <w:top w:w="90" w:type="dxa"/>
              <w:start w:w="100" w:type="dxa"/>
              <w:bottom w:w="90" w:type="dxa"/>
              <w:end w:w="100" w:type="dxa"/>
            </w:tcMar>
          </w:tcPr>
          <w:p>
            <w:pPr>
              <w:jc w:val="center"/>
            </w:pPr>
            <w:r>
              <w:rPr>
                <w:sz w:val="17"/>
              </w:rPr>
              <w:t>结果</w:t>
            </w:r>
          </w:p>
        </w:tc>
        <w:tc>
          <w:tcPr>
            <w:tcW w:type="dxa" w:w="6912"/>
            <w:shd w:fill="EFF5F8"/>
            <w:vAlign w:val="center"/>
            <w:tcMar>
              <w:top w:w="90" w:type="dxa"/>
              <w:start w:w="100" w:type="dxa"/>
              <w:bottom w:w="90" w:type="dxa"/>
              <w:end w:w="100" w:type="dxa"/>
            </w:tcMar>
          </w:tcPr>
          <w:p>
            <w:pPr>
              <w:jc w:val="left"/>
            </w:pPr>
            <w:r>
              <w:rPr>
                <w:sz w:val="17"/>
              </w:rPr>
              <w:t>表格由脚本生成 关键数字与 CSV 一致 否定结果未隐藏</w:t>
            </w:r>
          </w:p>
        </w:tc>
        <w:tc>
          <w:tcPr>
            <w:tcW w:type="dxa" w:w="1008"/>
            <w:shd w:fill="EFF5F8"/>
            <w:vAlign w:val="center"/>
            <w:tcMar>
              <w:top w:w="90" w:type="dxa"/>
              <w:start w:w="100" w:type="dxa"/>
              <w:bottom w:w="90" w:type="dxa"/>
              <w:end w:w="100" w:type="dxa"/>
            </w:tcMar>
          </w:tcPr>
          <w:p>
            <w:pPr>
              <w:jc w:val="center"/>
            </w:pPr>
            <w:r>
              <w:rPr>
                <w:sz w:val="17"/>
              </w:rPr>
              <w:t>通过</w:t>
            </w:r>
          </w:p>
        </w:tc>
      </w:tr>
      <w:tr>
        <w:tc>
          <w:tcPr>
            <w:tcW w:type="dxa" w:w="1440"/>
            <w:vAlign w:val="center"/>
            <w:tcMar>
              <w:top w:w="90" w:type="dxa"/>
              <w:start w:w="100" w:type="dxa"/>
              <w:bottom w:w="90" w:type="dxa"/>
              <w:end w:w="100" w:type="dxa"/>
            </w:tcMar>
          </w:tcPr>
          <w:p>
            <w:pPr>
              <w:jc w:val="center"/>
            </w:pPr>
            <w:r>
              <w:rPr>
                <w:sz w:val="17"/>
              </w:rPr>
              <w:t>边界</w:t>
            </w:r>
          </w:p>
        </w:tc>
        <w:tc>
          <w:tcPr>
            <w:tcW w:type="dxa" w:w="6912"/>
            <w:vAlign w:val="center"/>
            <w:tcMar>
              <w:top w:w="90" w:type="dxa"/>
              <w:start w:w="100" w:type="dxa"/>
              <w:bottom w:w="90" w:type="dxa"/>
              <w:end w:w="100" w:type="dxa"/>
            </w:tcMar>
          </w:tcPr>
          <w:p>
            <w:pPr>
              <w:jc w:val="left"/>
            </w:pPr>
            <w:r>
              <w:rPr>
                <w:sz w:val="17"/>
              </w:rPr>
              <w:t>不把相关写成因果 不称确认集超越全部传统基线</w:t>
            </w:r>
          </w:p>
        </w:tc>
        <w:tc>
          <w:tcPr>
            <w:tcW w:type="dxa" w:w="1008"/>
            <w:vAlign w:val="center"/>
            <w:tcMar>
              <w:top w:w="90" w:type="dxa"/>
              <w:start w:w="100" w:type="dxa"/>
              <w:bottom w:w="90" w:type="dxa"/>
              <w:end w:w="100" w:type="dxa"/>
            </w:tcMar>
          </w:tcPr>
          <w:p>
            <w:pPr>
              <w:jc w:val="center"/>
            </w:pPr>
            <w:r>
              <w:rPr>
                <w:sz w:val="17"/>
              </w:rPr>
              <w:t>通过</w:t>
            </w:r>
          </w:p>
        </w:tc>
      </w:tr>
      <w:tr>
        <w:tc>
          <w:tcPr>
            <w:tcW w:type="dxa" w:w="1440"/>
            <w:shd w:fill="EFF5F8"/>
            <w:vAlign w:val="center"/>
            <w:tcMar>
              <w:top w:w="90" w:type="dxa"/>
              <w:start w:w="100" w:type="dxa"/>
              <w:bottom w:w="90" w:type="dxa"/>
              <w:end w:w="100" w:type="dxa"/>
            </w:tcMar>
          </w:tcPr>
          <w:p>
            <w:pPr>
              <w:jc w:val="center"/>
            </w:pPr>
            <w:r>
              <w:rPr>
                <w:sz w:val="17"/>
              </w:rPr>
              <w:t>复现</w:t>
            </w:r>
          </w:p>
        </w:tc>
        <w:tc>
          <w:tcPr>
            <w:tcW w:type="dxa" w:w="6912"/>
            <w:shd w:fill="EFF5F8"/>
            <w:vAlign w:val="center"/>
            <w:tcMar>
              <w:top w:w="90" w:type="dxa"/>
              <w:start w:w="100" w:type="dxa"/>
              <w:bottom w:w="90" w:type="dxa"/>
              <w:end w:w="100" w:type="dxa"/>
            </w:tcMar>
          </w:tcPr>
          <w:p>
            <w:pPr>
              <w:jc w:val="left"/>
            </w:pPr>
            <w:r>
              <w:rPr>
                <w:sz w:val="17"/>
              </w:rPr>
              <w:t>固定种子 保存配置 模型 日志 预测与统一依赖</w:t>
            </w:r>
          </w:p>
        </w:tc>
        <w:tc>
          <w:tcPr>
            <w:tcW w:type="dxa" w:w="1008"/>
            <w:shd w:fill="EFF5F8"/>
            <w:vAlign w:val="center"/>
            <w:tcMar>
              <w:top w:w="90" w:type="dxa"/>
              <w:start w:w="100" w:type="dxa"/>
              <w:bottom w:w="90" w:type="dxa"/>
              <w:end w:w="100" w:type="dxa"/>
            </w:tcMar>
          </w:tcPr>
          <w:p>
            <w:pPr>
              <w:jc w:val="center"/>
            </w:pPr>
            <w:r>
              <w:rPr>
                <w:sz w:val="17"/>
              </w:rPr>
              <w:t>通过</w:t>
            </w:r>
          </w:p>
        </w:tc>
      </w:tr>
    </w:tbl>
    <w:p>
      <w:pPr>
        <w:spacing w:after="40"/>
      </w:pP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人工智能课程设计  SafeFAME 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黑体" w:hAnsi="黑体"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宋体" w:hAnsi="宋体"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SafeFAME-TS 人工智能课程设计报告</dc:title>
  <dc:subject>时间序列预测、多模态文本融合与稳健性验证</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