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after="440"/>
        <w:jc w:val="center"/>
        <w:pBdr>
          <w:bottom w:val="nil"/>
        </w:pBdr>
      </w:pPr>
      <w:r>
        <w:rPr>
          <w:rFonts w:ascii="Times New Roman" w:hAnsi="Times New Roman" w:cs="Times New Roman" w:eastAsia="黑体"/>
        </w:rPr>
        <w:t>文本何时有助于时间序列预测</w:t>
      </w:r>
    </w:p>
    <w:p>
      <w:pPr>
        <w:jc w:val="center"/>
      </w:pPr>
      <w:r>
        <w:rPr>
          <w:rFonts w:ascii="Times New Roman" w:hAnsi="Times New Roman" w:eastAsia="宋体" w:cs="Times New Roman"/>
          <w:b/>
          <w:sz w:val="30"/>
        </w:rPr>
        <w:t>多领域严格时点反事实检验与安全回退</w:t>
      </w:r>
    </w:p>
    <w:p>
      <w:pPr>
        <w:spacing w:before="360"/>
        <w:jc w:val="center"/>
      </w:pPr>
      <w:r>
        <w:rPr>
          <w:rFonts w:ascii="Times New Roman" w:hAnsi="Times New Roman" w:cs="Times New Roman" w:eastAsia="宋体"/>
          <w:sz w:val="24"/>
        </w:rPr>
        <w:t>SafeFAME TS 人工智能课程设计报告</w:t>
      </w:r>
    </w:p>
    <w:p>
      <w:pPr>
        <w:spacing w:after="1840"/>
      </w:pPr>
    </w:p>
    <w:p>
      <w:pPr>
        <w:spacing w:after="160"/>
        <w:jc w:val="center"/>
      </w:pPr>
      <w:r>
        <w:rPr>
          <w:rFonts w:ascii="Times New Roman" w:hAnsi="Times New Roman" w:cs="Times New Roman" w:eastAsia="宋体"/>
          <w:sz w:val="22"/>
        </w:rPr>
        <w:t>课程名称  人工智能</w:t>
      </w:r>
    </w:p>
    <w:p>
      <w:pPr>
        <w:spacing w:after="160"/>
        <w:jc w:val="center"/>
      </w:pPr>
      <w:r>
        <w:rPr>
          <w:rFonts w:ascii="Times New Roman" w:hAnsi="Times New Roman" w:cs="Times New Roman" w:eastAsia="宋体"/>
          <w:sz w:val="22"/>
        </w:rPr>
        <w:t>作业性质  个人课程设计</w:t>
      </w:r>
    </w:p>
    <w:p>
      <w:pPr>
        <w:spacing w:after="160"/>
        <w:jc w:val="center"/>
      </w:pPr>
      <w:r>
        <w:rPr>
          <w:rFonts w:ascii="Times New Roman" w:hAnsi="Times New Roman" w:cs="Times New Roman" w:eastAsia="宋体"/>
          <w:sz w:val="22"/>
        </w:rPr>
        <w:t>姓名学号  ____________________</w:t>
      </w:r>
    </w:p>
    <w:p>
      <w:pPr>
        <w:spacing w:after="160"/>
        <w:jc w:val="center"/>
      </w:pPr>
      <w:r>
        <w:rPr>
          <w:rFonts w:ascii="Times New Roman" w:hAnsi="Times New Roman" w:cs="Times New Roman" w:eastAsia="宋体"/>
          <w:sz w:val="22"/>
        </w:rPr>
        <w:t>提交日期  ____________________</w:t>
      </w:r>
    </w:p>
    <w:p>
      <w:r>
        <w:rPr>
          <w:rFonts w:ascii="Times New Roman" w:hAnsi="Times New Roman" w:cs="Times New Roman" w:eastAsia="宋体"/>
        </w:rPr>
        <w:br w:type="page"/>
      </w:r>
    </w:p>
    <w:p>
      <w:pPr>
        <w:pStyle w:val="Heading1"/>
        <w:keepNext/>
        <w:spacing w:before="200" w:after="100"/>
      </w:pPr>
      <w:r>
        <w:rPr>
          <w:rFonts w:ascii="Times New Roman" w:hAnsi="Times New Roman" w:cs="Times New Roman" w:eastAsia="黑体"/>
        </w:rPr>
        <w:t>摘要</w:t>
      </w:r>
    </w:p>
    <w:p>
      <w:pPr>
        <w:spacing w:line="348" w:lineRule="auto" w:after="100"/>
        <w:ind w:firstLine="420"/>
      </w:pPr>
      <w:r>
        <w:rPr>
          <w:rFonts w:ascii="Times New Roman" w:hAnsi="Times New Roman" w:cs="Times New Roman" w:eastAsia="宋体"/>
        </w:rPr>
        <w:t>外部文本可能解释时间序列变化，也可能因发布时间不明、主题漂移或样本量有限而造成负迁移。本文以 Time-MMD 为主数据，研究在严格时点约束下文本是否能为多领域预测提供可泛化的增量信息。研究覆盖气候、能源、经济、交通、农业和安全六个领域，构造18项领域与预测跨度任务；另在 ETTh1、ETTh2 上进行六项长跨度数值外部验证。文本侧仅使用 fact，排除数据中生成式预测字段 preds；共保留14281条去重事实，并要求事实 end_date 早于预测起点。需强调，end_date 只是数据提供的可得时间代理，不等同于已核验的真实发布时间。</w:t>
      </w:r>
    </w:p>
    <w:p>
      <w:pPr>
        <w:spacing w:line="348" w:lineRule="auto" w:after="100"/>
        <w:ind w:firstLine="420"/>
      </w:pPr>
      <w:r>
        <w:rPr>
          <w:rFonts w:ascii="Times New Roman" w:hAnsi="Times New Roman" w:cs="Times New Roman" w:eastAsia="宋体"/>
        </w:rPr>
        <w:t>本文提出 SafeFAME-TS v2。系统先从 Last、季节朴素、AR-Ridge、DLinear-M 与 PatchTST 中按验证校准段选择数值回退，再构造语义残差和频率语义残差候选。验证期后半独立用于资格判定：候选必须总体超过回退、在决策段前后两半均胜出，并在99次文本错位置换中达到每任务两条候选 Bonferroni 校正后的 p≤0.025。测试期采用5000次移动块Bootstrap评估重叠预测窗口下的损失差区间。外部审查后另做999次循环移位置换和匹配容量纯数值残差对照，作为不改变冻结路由的敏感性检查。</w:t>
      </w:r>
    </w:p>
    <w:p>
      <w:pPr>
        <w:spacing w:line="348" w:lineRule="auto" w:after="100"/>
        <w:ind w:firstLine="420"/>
      </w:pPr>
      <w:r>
        <w:rPr>
          <w:rFonts w:ascii="Times New Roman" w:hAnsi="Times New Roman" w:cs="Times New Roman" w:eastAsia="宋体"/>
        </w:rPr>
        <w:t>冻结规则没有在18项任务中放行任何文本路径。测试期事后分析显示，语义候选虽在13/18项任务取得更低点估计MSE，但只有3项95%移动块区间完全支持改善，同时有4项区间完全支持变差；频率候选仅在8/18项任务取得点估计改善。数值外部验证中，PatchTST-M 在六项 ETT 任务均优于所比较的非PatchTST基线，平均MSE改善12.69%。扰动实验表明其对高斯噪声与10%随机缺失的平均退化分别为3.31%和1.68%，但对尖峰和末段连续缺失平均退化达84.38%和24.59%。</w:t>
      </w:r>
    </w:p>
    <w:p>
      <w:pPr>
        <w:spacing w:line="348" w:lineRule="auto" w:after="100"/>
        <w:ind w:firstLine="420"/>
      </w:pPr>
      <w:r>
        <w:rPr>
          <w:rFonts w:ascii="Times New Roman" w:hAnsi="Times New Roman" w:cs="Times New Roman" w:eastAsia="宋体"/>
        </w:rPr>
        <w:t>结果说明，文本价值不能由少数测试任务或模型复杂度推断，必须在预测时点约束、反事实对照和独立选择协议下逐任务验证。999次循环移位检验仍无候选达到p≤0.025；相对于匹配容量纯数值残差对照，只有2条候选的测试期区间完全大于零，9条完全小于零。SafeFAME-TS v2 的主要贡献是将是否启用文本转化为可证伪的统计决策，并在当前证据不足时保留数值回退；结论不应外推为文本在所有时间序列任务中无效。</w:t>
      </w:r>
    </w:p>
    <w:p>
      <w:r>
        <w:rPr>
          <w:rFonts w:ascii="Times New Roman" w:hAnsi="Times New Roman" w:cs="Times New Roman" w:eastAsia="宋体"/>
          <w:b/>
        </w:rPr>
        <w:t xml:space="preserve">关键词  </w:t>
      </w:r>
      <w:r>
        <w:rPr>
          <w:rFonts w:ascii="Times New Roman" w:hAnsi="Times New Roman" w:cs="Times New Roman" w:eastAsia="宋体"/>
        </w:rPr>
        <w:t>多模态时间序列预测  时点对齐  文本置换  移动块Bootstrap  安全回退  负迁移</w:t>
      </w:r>
    </w:p>
    <w:p>
      <w:r>
        <w:rPr>
          <w:rFonts w:ascii="Times New Roman" w:hAnsi="Times New Roman" w:cs="Times New Roman" w:eastAsia="宋体"/>
        </w:rPr>
        <w:br w:type="page"/>
      </w:r>
    </w:p>
    <w:p>
      <w:pPr>
        <w:pStyle w:val="Heading1"/>
        <w:keepNext/>
        <w:spacing w:before="200" w:after="100"/>
      </w:pPr>
      <w:r>
        <w:rPr>
          <w:rFonts w:ascii="Times New Roman" w:hAnsi="Times New Roman" w:cs="Times New Roman" w:eastAsia="黑体"/>
        </w:rPr>
        <w:t>目录</w:t>
      </w:r>
    </w:p>
    <w:p>
      <w:pPr>
        <w:spacing w:after="60"/>
      </w:pPr>
      <w:r>
        <w:rPr>
          <w:rFonts w:ascii="Times New Roman" w:hAnsi="Times New Roman" w:cs="Times New Roman" w:eastAsia="宋体"/>
        </w:rPr>
        <w:t>1 问题重述与研究目标</w:t>
      </w:r>
    </w:p>
    <w:p>
      <w:pPr>
        <w:spacing w:after="60"/>
      </w:pPr>
      <w:r>
        <w:rPr>
          <w:rFonts w:ascii="Times New Roman" w:hAnsi="Times New Roman" w:cs="Times New Roman" w:eastAsia="宋体"/>
        </w:rPr>
        <w:t>2 相关研究与方案依据</w:t>
      </w:r>
    </w:p>
    <w:p>
      <w:pPr>
        <w:spacing w:after="60"/>
      </w:pPr>
      <w:r>
        <w:rPr>
          <w:rFonts w:ascii="Times New Roman" w:hAnsi="Times New Roman" w:cs="Times New Roman" w:eastAsia="宋体"/>
        </w:rPr>
        <w:t>3 数据审计与预处理</w:t>
      </w:r>
    </w:p>
    <w:p>
      <w:pPr>
        <w:spacing w:after="60"/>
      </w:pPr>
      <w:r>
        <w:rPr>
          <w:rFonts w:ascii="Times New Roman" w:hAnsi="Times New Roman" w:cs="Times New Roman" w:eastAsia="宋体"/>
        </w:rPr>
        <w:t>4 模型假设与符号</w:t>
      </w:r>
    </w:p>
    <w:p>
      <w:pPr>
        <w:spacing w:after="60"/>
      </w:pPr>
      <w:r>
        <w:rPr>
          <w:rFonts w:ascii="Times New Roman" w:hAnsi="Times New Roman" w:cs="Times New Roman" w:eastAsia="宋体"/>
        </w:rPr>
        <w:t>5 SafeFAME TS v2模型</w:t>
      </w:r>
    </w:p>
    <w:p>
      <w:pPr>
        <w:spacing w:after="60"/>
      </w:pPr>
      <w:r>
        <w:rPr>
          <w:rFonts w:ascii="Times New Roman" w:hAnsi="Times New Roman" w:cs="Times New Roman" w:eastAsia="宋体"/>
        </w:rPr>
        <w:t>6 实验设计与求解</w:t>
      </w:r>
    </w:p>
    <w:p>
      <w:pPr>
        <w:spacing w:after="60"/>
      </w:pPr>
      <w:r>
        <w:rPr>
          <w:rFonts w:ascii="Times New Roman" w:hAnsi="Times New Roman" w:cs="Times New Roman" w:eastAsia="宋体"/>
        </w:rPr>
        <w:t>7 实验结果</w:t>
      </w:r>
    </w:p>
    <w:p>
      <w:pPr>
        <w:spacing w:after="60"/>
      </w:pPr>
      <w:r>
        <w:rPr>
          <w:rFonts w:ascii="Times New Roman" w:hAnsi="Times New Roman" w:cs="Times New Roman" w:eastAsia="宋体"/>
        </w:rPr>
        <w:t>8 稳健性与误差分析</w:t>
      </w:r>
    </w:p>
    <w:p>
      <w:pPr>
        <w:spacing w:after="60"/>
      </w:pPr>
      <w:r>
        <w:rPr>
          <w:rFonts w:ascii="Times New Roman" w:hAnsi="Times New Roman" w:cs="Times New Roman" w:eastAsia="宋体"/>
        </w:rPr>
        <w:t>9 系统实现与可复现性</w:t>
      </w:r>
    </w:p>
    <w:p>
      <w:pPr>
        <w:spacing w:after="60"/>
      </w:pPr>
      <w:r>
        <w:rPr>
          <w:rFonts w:ascii="Times New Roman" w:hAnsi="Times New Roman" w:cs="Times New Roman" w:eastAsia="宋体"/>
        </w:rPr>
        <w:t>10 模型评价与结论</w:t>
      </w:r>
    </w:p>
    <w:p>
      <w:pPr>
        <w:spacing w:after="60"/>
      </w:pPr>
      <w:r>
        <w:rPr>
          <w:rFonts w:ascii="Times New Roman" w:hAnsi="Times New Roman" w:cs="Times New Roman" w:eastAsia="宋体"/>
        </w:rPr>
        <w:t>参考文献</w:t>
      </w:r>
    </w:p>
    <w:p>
      <w:pPr>
        <w:spacing w:after="60"/>
      </w:pPr>
      <w:r>
        <w:rPr>
          <w:rFonts w:ascii="Times New Roman" w:hAnsi="Times New Roman" w:cs="Times New Roman" w:eastAsia="宋体"/>
        </w:rPr>
        <w:t>附录</w:t>
      </w:r>
    </w:p>
    <w:p>
      <w:r>
        <w:rPr>
          <w:rFonts w:ascii="Times New Roman" w:hAnsi="Times New Roman" w:cs="Times New Roman" w:eastAsia="宋体"/>
        </w:rPr>
        <w:br w:type="page"/>
      </w:r>
    </w:p>
    <w:p>
      <w:pPr>
        <w:pStyle w:val="Heading1"/>
        <w:keepNext/>
        <w:spacing w:before="200" w:after="100"/>
      </w:pPr>
      <w:r>
        <w:rPr>
          <w:rFonts w:ascii="Times New Roman" w:hAnsi="Times New Roman" w:cs="Times New Roman" w:eastAsia="黑体"/>
        </w:rPr>
        <w:t>1 问题重述与研究目标</w:t>
      </w:r>
    </w:p>
    <w:p>
      <w:pPr>
        <w:spacing w:line="348" w:lineRule="auto" w:after="100"/>
        <w:ind w:firstLine="420"/>
      </w:pPr>
      <w:r>
        <w:rPr>
          <w:rFonts w:ascii="Times New Roman" w:hAnsi="Times New Roman" w:cs="Times New Roman" w:eastAsia="宋体"/>
        </w:rPr>
        <w:t>课程设计要求形成完整的问题描述、系统或实验设计、算法描述、实验结果与分析图表，并提交源代码和详细实验过程资料。结合时间序列研究基础，本文把任务定义为：在只能使用预测起点前信息的条件下，判断外部事实文本是否改善未来多步预测，并设计一个在文本证据不足时不会被迫采用文本的系统。</w:t>
      </w:r>
    </w:p>
    <w:p>
      <w:pPr>
        <w:pStyle w:val="Heading2"/>
        <w:keepNext/>
        <w:spacing w:before="140" w:after="100"/>
      </w:pPr>
      <w:r>
        <w:rPr>
          <w:rFonts w:ascii="Times New Roman" w:hAnsi="Times New Roman" w:cs="Times New Roman" w:eastAsia="黑体"/>
        </w:rPr>
        <w:t>1.1 研究问题</w:t>
      </w:r>
    </w:p>
    <w:p>
      <w:pPr>
        <w:pStyle w:val="ListBullet"/>
        <w:spacing w:line="324" w:lineRule="auto" w:after="60"/>
        <w:ind w:left="425"/>
      </w:pPr>
      <w:r>
        <w:rPr>
          <w:rFonts w:ascii="Times New Roman" w:hAnsi="Times New Roman" w:cs="Times New Roman" w:eastAsia="宋体"/>
        </w:rPr>
        <w:t>RQ1 严格时点文本语义是否稳定超过纯数值预测。</w:t>
      </w:r>
    </w:p>
    <w:p>
      <w:pPr>
        <w:pStyle w:val="ListBullet"/>
        <w:spacing w:line="324" w:lineRule="auto" w:after="60"/>
        <w:ind w:left="425"/>
      </w:pPr>
      <w:r>
        <w:rPr>
          <w:rFonts w:ascii="Times New Roman" w:hAnsi="Times New Roman" w:cs="Times New Roman" w:eastAsia="宋体"/>
        </w:rPr>
        <w:t>RQ2 正确对齐文本是否超过随机置换文本。</w:t>
      </w:r>
    </w:p>
    <w:p>
      <w:pPr>
        <w:pStyle w:val="ListBullet"/>
        <w:spacing w:line="324" w:lineRule="auto" w:after="60"/>
        <w:ind w:left="425"/>
      </w:pPr>
      <w:r>
        <w:rPr>
          <w:rFonts w:ascii="Times New Roman" w:hAnsi="Times New Roman" w:cs="Times New Roman" w:eastAsia="宋体"/>
        </w:rPr>
        <w:t>RQ3 频率与语义交互是否提高跨跨度稳定性。</w:t>
      </w:r>
    </w:p>
    <w:p>
      <w:pPr>
        <w:pStyle w:val="ListBullet"/>
        <w:spacing w:line="324" w:lineRule="auto" w:after="60"/>
        <w:ind w:left="425"/>
      </w:pPr>
      <w:r>
        <w:rPr>
          <w:rFonts w:ascii="Times New Roman" w:hAnsi="Times New Roman" w:cs="Times New Roman" w:eastAsia="宋体"/>
        </w:rPr>
        <w:t>RQ4 验证期选择能否避免已观察到的文本负迁移。</w:t>
      </w:r>
    </w:p>
    <w:p>
      <w:pPr>
        <w:pStyle w:val="ListBullet"/>
        <w:spacing w:line="324" w:lineRule="auto" w:after="60"/>
        <w:ind w:left="425"/>
      </w:pPr>
      <w:r>
        <w:rPr>
          <w:rFonts w:ascii="Times New Roman" w:hAnsi="Times New Roman" w:cs="Times New Roman" w:eastAsia="宋体"/>
        </w:rPr>
        <w:t>RQ5 数值骨干能否在外部数据和输入扰动下保持可复现性能。</w:t>
      </w:r>
    </w:p>
    <w:p>
      <w:pPr>
        <w:pStyle w:val="Heading2"/>
        <w:keepNext/>
        <w:spacing w:before="140" w:after="100"/>
      </w:pPr>
      <w:r>
        <w:rPr>
          <w:rFonts w:ascii="Times New Roman" w:hAnsi="Times New Roman" w:cs="Times New Roman" w:eastAsia="黑体"/>
        </w:rPr>
        <w:t>1.2 闭环对应关系</w:t>
      </w:r>
    </w:p>
    <w:p>
      <w:pPr>
        <w:pStyle w:val="Caption"/>
        <w:spacing w:before="60" w:after="100"/>
        <w:jc w:val="center"/>
      </w:pPr>
      <w:r>
        <w:rPr>
          <w:rFonts w:ascii="Times New Roman" w:hAnsi="Times New Roman" w:cs="Times New Roman" w:eastAsia="宋体"/>
        </w:rPr>
        <w:t>表 1 原题要求 数据 方法 输出与验证对应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8"/>
        <w:gridCol w:w="1848"/>
        <w:gridCol w:w="1848"/>
        <w:gridCol w:w="1848"/>
        <w:gridCol w:w="1848"/>
      </w:tblGrid>
      <w:tr>
        <w:trPr>
          <w:tblHeader w:val="true"/>
        </w:trPr>
        <w:tc>
          <w:tcPr>
            <w:tcW w:type="dxa" w:w="170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要求</w:t>
            </w:r>
          </w:p>
        </w:tc>
        <w:tc>
          <w:tcPr>
            <w:tcW w:type="dxa" w:w="204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数据证据</w:t>
            </w:r>
          </w:p>
        </w:tc>
        <w:tc>
          <w:tcPr>
            <w:tcW w:type="dxa" w:w="249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模型方法</w:t>
            </w:r>
          </w:p>
        </w:tc>
        <w:tc>
          <w:tcPr>
            <w:tcW w:type="dxa" w:w="181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输出</w:t>
            </w:r>
          </w:p>
        </w:tc>
        <w:tc>
          <w:tcPr>
            <w:tcW w:type="dxa" w:w="181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验证</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问题与数据</w:t>
            </w:r>
          </w:p>
        </w:tc>
        <w:tc>
          <w:tcPr>
            <w:tcW w:type="dxa" w:w="204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六领域数值和fact</w:t>
            </w:r>
          </w:p>
        </w:tc>
        <w:tc>
          <w:tcPr>
            <w:tcW w:type="dxa" w:w="249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时点索引</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18项任务</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审计日志</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算法设计</w:t>
            </w:r>
          </w:p>
        </w:tc>
        <w:tc>
          <w:tcPr>
            <w:tcW w:type="dxa" w:w="204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历史窗口和文本</w:t>
            </w:r>
          </w:p>
        </w:tc>
        <w:tc>
          <w:tcPr>
            <w:tcW w:type="dxa" w:w="249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专家池与残差候选</w:t>
            </w:r>
          </w:p>
        </w:tc>
        <w:tc>
          <w:tcPr>
            <w:tcW w:type="dxa" w:w="181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多步预测</w:t>
            </w:r>
          </w:p>
        </w:tc>
        <w:tc>
          <w:tcPr>
            <w:tcW w:type="dxa" w:w="181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基线比较</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改进路线</w:t>
            </w:r>
          </w:p>
        </w:tc>
        <w:tc>
          <w:tcPr>
            <w:tcW w:type="dxa" w:w="204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覆盖和频率特征</w:t>
            </w:r>
          </w:p>
        </w:tc>
        <w:tc>
          <w:tcPr>
            <w:tcW w:type="dxa" w:w="249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文本置换与安全选择</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路径决策</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分段门槛</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实验结果</w:t>
            </w:r>
          </w:p>
        </w:tc>
        <w:tc>
          <w:tcPr>
            <w:tcW w:type="dxa" w:w="204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2764个测试起点</w:t>
            </w:r>
          </w:p>
        </w:tc>
        <w:tc>
          <w:tcPr>
            <w:tcW w:type="dxa" w:w="249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冻结后评估</w:t>
            </w:r>
          </w:p>
        </w:tc>
        <w:tc>
          <w:tcPr>
            <w:tcW w:type="dxa" w:w="181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MSE MAE RMSE</w:t>
            </w:r>
          </w:p>
        </w:tc>
        <w:tc>
          <w:tcPr>
            <w:tcW w:type="dxa" w:w="181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块Bootstrap</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系统实现</w:t>
            </w:r>
          </w:p>
        </w:tc>
        <w:tc>
          <w:tcPr>
            <w:tcW w:type="dxa" w:w="204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结果CSV</w:t>
            </w:r>
          </w:p>
        </w:tc>
        <w:tc>
          <w:tcPr>
            <w:tcW w:type="dxa" w:w="249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交互原型</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任务审计视图</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复现脚本</w:t>
            </w:r>
          </w:p>
        </w:tc>
      </w:tr>
    </w:tbl>
    <w:p>
      <w:pPr>
        <w:spacing w:after="40"/>
      </w:pPr>
    </w:p>
    <w:p>
      <w:r>
        <w:rPr>
          <w:rFonts w:ascii="Times New Roman" w:hAnsi="Times New Roman" w:cs="Times New Roman" w:eastAsia="宋体"/>
        </w:rPr>
        <w:br w:type="page"/>
      </w:r>
    </w:p>
    <w:p>
      <w:pPr>
        <w:pStyle w:val="Heading1"/>
        <w:keepNext/>
        <w:spacing w:before="200" w:after="100"/>
      </w:pPr>
      <w:r>
        <w:rPr>
          <w:rFonts w:ascii="Times New Roman" w:hAnsi="Times New Roman" w:cs="Times New Roman" w:eastAsia="黑体"/>
        </w:rPr>
        <w:t>2 相关研究与方案依据</w:t>
      </w:r>
    </w:p>
    <w:p>
      <w:pPr>
        <w:pStyle w:val="Caption"/>
        <w:spacing w:before="60" w:after="100"/>
        <w:jc w:val="center"/>
      </w:pPr>
      <w:r>
        <w:rPr>
          <w:rFonts w:ascii="Times New Roman" w:hAnsi="Times New Roman" w:cs="Times New Roman" w:eastAsia="宋体"/>
        </w:rPr>
        <w:t>表 2 相关研究 证据等级与本文取舍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310"/>
        <w:gridCol w:w="2310"/>
        <w:gridCol w:w="2310"/>
      </w:tblGrid>
      <w:tr>
        <w:trPr>
          <w:tblHeader w:val="true"/>
        </w:trPr>
        <w:tc>
          <w:tcPr>
            <w:tcW w:type="dxa" w:w="175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研究</w:t>
            </w:r>
          </w:p>
        </w:tc>
        <w:tc>
          <w:tcPr>
            <w:tcW w:type="dxa" w:w="181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身份</w:t>
            </w:r>
          </w:p>
        </w:tc>
        <w:tc>
          <w:tcPr>
            <w:tcW w:type="dxa" w:w="2438"/>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主要启发</w:t>
            </w:r>
          </w:p>
        </w:tc>
        <w:tc>
          <w:tcPr>
            <w:tcW w:type="dxa" w:w="3402"/>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本文使用边界</w:t>
            </w:r>
          </w:p>
        </w:tc>
      </w:tr>
      <w:tr>
        <w:trPr>
          <w:cantSplit/>
        </w:trPr>
        <w:tc>
          <w:tcPr>
            <w:tcW w:type="dxa" w:w="175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Time-MMD</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NeurIPS 2024</w:t>
            </w:r>
          </w:p>
        </w:tc>
        <w:tc>
          <w:tcPr>
            <w:tcW w:type="dxa" w:w="243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多领域数值与文本对齐数据</w:t>
            </w:r>
          </w:p>
        </w:tc>
        <w:tc>
          <w:tcPr>
            <w:tcW w:type="dxa" w:w="3402"/>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提供数据基础；不照抄其结论</w:t>
            </w:r>
          </w:p>
        </w:tc>
      </w:tr>
      <w:tr>
        <w:trPr>
          <w:cantSplit/>
        </w:trPr>
        <w:tc>
          <w:tcPr>
            <w:tcW w:type="dxa" w:w="175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DLinear</w:t>
            </w:r>
          </w:p>
        </w:tc>
        <w:tc>
          <w:tcPr>
            <w:tcW w:type="dxa" w:w="181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AAAI 2023</w:t>
            </w:r>
          </w:p>
        </w:tc>
        <w:tc>
          <w:tcPr>
            <w:tcW w:type="dxa" w:w="243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分解线性预测与强简单基线</w:t>
            </w:r>
          </w:p>
        </w:tc>
        <w:tc>
          <w:tcPr>
            <w:tcW w:type="dxa" w:w="3402"/>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作为可解释深度基线</w:t>
            </w:r>
          </w:p>
        </w:tc>
      </w:tr>
      <w:tr>
        <w:trPr>
          <w:cantSplit/>
        </w:trPr>
        <w:tc>
          <w:tcPr>
            <w:tcW w:type="dxa" w:w="175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PatchTST</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ICLR 2023</w:t>
            </w:r>
          </w:p>
        </w:tc>
        <w:tc>
          <w:tcPr>
            <w:tcW w:type="dxa" w:w="243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分块与通道独立</w:t>
            </w:r>
          </w:p>
        </w:tc>
        <w:tc>
          <w:tcPr>
            <w:tcW w:type="dxa" w:w="340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作为主要数值专家</w:t>
            </w:r>
          </w:p>
        </w:tc>
      </w:tr>
      <w:tr>
        <w:trPr>
          <w:cantSplit/>
        </w:trPr>
        <w:tc>
          <w:tcPr>
            <w:tcW w:type="dxa" w:w="1757"/>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TimesNet / FEDformer</w:t>
            </w:r>
          </w:p>
        </w:tc>
        <w:tc>
          <w:tcPr>
            <w:tcW w:type="dxa" w:w="1814"/>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ICLR 2023 / ICML 2022</w:t>
            </w:r>
          </w:p>
        </w:tc>
        <w:tc>
          <w:tcPr>
            <w:tcW w:type="dxa" w:w="243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多周期与频域建模</w:t>
            </w:r>
          </w:p>
        </w:tc>
        <w:tc>
          <w:tcPr>
            <w:tcW w:type="dxa" w:w="3402"/>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启发频率统计分支</w:t>
            </w:r>
          </w:p>
        </w:tc>
      </w:tr>
      <w:tr>
        <w:trPr>
          <w:cantSplit/>
        </w:trPr>
        <w:tc>
          <w:tcPr>
            <w:tcW w:type="dxa" w:w="175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TimeXer</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NeurIPS 2024</w:t>
            </w:r>
          </w:p>
        </w:tc>
        <w:tc>
          <w:tcPr>
            <w:tcW w:type="dxa" w:w="243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外生变量建模</w:t>
            </w:r>
          </w:p>
        </w:tc>
        <w:tc>
          <w:tcPr>
            <w:tcW w:type="dxa" w:w="340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支持将文本视为外生信息</w:t>
            </w:r>
          </w:p>
        </w:tc>
      </w:tr>
      <w:tr>
        <w:trPr>
          <w:cantSplit/>
        </w:trPr>
        <w:tc>
          <w:tcPr>
            <w:tcW w:type="dxa" w:w="1757"/>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Time-LLM / TimeCMA</w:t>
            </w:r>
          </w:p>
        </w:tc>
        <w:tc>
          <w:tcPr>
            <w:tcW w:type="dxa" w:w="1814"/>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ICLR 2024 / AAAI 2025</w:t>
            </w:r>
          </w:p>
        </w:tc>
        <w:tc>
          <w:tcPr>
            <w:tcW w:type="dxa" w:w="243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语言模型重编程与跨模态对齐</w:t>
            </w:r>
          </w:p>
        </w:tc>
        <w:tc>
          <w:tcPr>
            <w:tcW w:type="dxa" w:w="3402"/>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说明融合方法空间；本文采用轻量实现</w:t>
            </w:r>
          </w:p>
        </w:tc>
      </w:tr>
      <w:tr>
        <w:trPr>
          <w:cantSplit/>
        </w:trPr>
        <w:tc>
          <w:tcPr>
            <w:tcW w:type="dxa" w:w="175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T3Time</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AAAI 2026</w:t>
            </w:r>
          </w:p>
        </w:tc>
        <w:tc>
          <w:tcPr>
            <w:tcW w:type="dxa" w:w="243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时域 频域 提示三分支与跨度条件门控</w:t>
            </w:r>
          </w:p>
        </w:tc>
        <w:tc>
          <w:tcPr>
            <w:tcW w:type="dxa" w:w="340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借鉴多模态和跨度条件思想</w:t>
            </w:r>
          </w:p>
        </w:tc>
      </w:tr>
      <w:tr>
        <w:trPr>
          <w:cantSplit/>
        </w:trPr>
        <w:tc>
          <w:tcPr>
            <w:tcW w:type="dxa" w:w="1757"/>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Spectral Text Fusion</w:t>
            </w:r>
          </w:p>
        </w:tc>
        <w:tc>
          <w:tcPr>
            <w:tcW w:type="dxa" w:w="181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2026 预印本</w:t>
            </w:r>
          </w:p>
        </w:tc>
        <w:tc>
          <w:tcPr>
            <w:tcW w:type="dxa" w:w="243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频谱与文本交互</w:t>
            </w:r>
          </w:p>
        </w:tc>
        <w:tc>
          <w:tcPr>
            <w:tcW w:type="dxa" w:w="3402"/>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启发候选频率交互；须独立验证</w:t>
            </w:r>
          </w:p>
        </w:tc>
      </w:tr>
    </w:tbl>
    <w:p>
      <w:pPr>
        <w:spacing w:after="40"/>
      </w:pPr>
    </w:p>
    <w:p>
      <w:pPr>
        <w:spacing w:line="348" w:lineRule="auto" w:after="100"/>
        <w:ind w:firstLine="420"/>
      </w:pPr>
      <w:r>
        <w:rPr>
          <w:rFonts w:ascii="Times New Roman" w:hAnsi="Times New Roman" w:cs="Times New Roman" w:eastAsia="宋体"/>
        </w:rPr>
        <w:t>PatchTST 的分块与通道独立结构[2]、DLinear 对简单基线的强调[3]、TimesNet 与 FEDformer 的多周期或频域建模[4,6]共同构成数值侧依据。iTransformer 与 TimeXer 分别讨论变量中心表示和外生变量[7-8]。文本侧以 Sentence-BERT 和 MiniLM 提供轻量句向量[10-11]。Time-LLM 与 TimeCMA 展示语言表征与时间序列对齐的不同路径[9,12]。本文没有复现所有大型模型，因为研究变量是“文本是否提供增量信息”，不是模型排行榜；使用冻结编码与线性残差头可以降低容量混杂。</w:t>
      </w:r>
    </w:p>
    <w:p>
      <w:pPr>
        <w:spacing w:line="348" w:lineRule="auto" w:after="100"/>
        <w:ind w:firstLine="420"/>
      </w:pPr>
      <w:r>
        <w:rPr>
          <w:rFonts w:ascii="Times New Roman" w:hAnsi="Times New Roman" w:cs="Times New Roman" w:eastAsia="宋体"/>
        </w:rPr>
        <w:t>TimeCMA 已正式发表于 AAAI 2025[12]。T3Time 的正式题名为 Tri-Modal Time Series Forecasting via Adaptive Multi-Head Alignment and Residual Fusion，已发表于 AAAI 2026[13]；本文借鉴其时域、频域和提示三分支以及跨度条件门控，不再把它误写为测试时训练。Spectral Text Fusion 截至核验时仍为 arXiv:2602.01588 预印本[14]，只作为频谱与文本交互启发，不直接采用其报告数字作为本文证据。</w:t>
      </w:r>
    </w:p>
    <w:p>
      <w:pPr>
        <w:pStyle w:val="Heading1"/>
        <w:keepNext/>
        <w:spacing w:before="200" w:after="100"/>
      </w:pPr>
      <w:r>
        <w:rPr>
          <w:rFonts w:ascii="Times New Roman" w:hAnsi="Times New Roman" w:cs="Times New Roman" w:eastAsia="黑体"/>
        </w:rPr>
        <w:t>3 数据审计与预处理</w:t>
      </w:r>
    </w:p>
    <w:p>
      <w:pPr>
        <w:pStyle w:val="Heading2"/>
        <w:keepNext/>
        <w:spacing w:before="140" w:after="100"/>
      </w:pPr>
      <w:r>
        <w:rPr>
          <w:rFonts w:ascii="Times New Roman" w:hAnsi="Times New Roman" w:cs="Times New Roman" w:eastAsia="黑体"/>
        </w:rPr>
        <w:t>3.1 数据身份与范围</w:t>
      </w:r>
    </w:p>
    <w:p>
      <w:pPr>
        <w:spacing w:line="348" w:lineRule="auto" w:after="100"/>
        <w:ind w:firstLine="420"/>
      </w:pPr>
      <w:r>
        <w:rPr>
          <w:rFonts w:ascii="Times New Roman" w:hAnsi="Times New Roman" w:cs="Times New Roman" w:eastAsia="宋体"/>
        </w:rPr>
        <w:t>主数据来自 Time-MMD 官方论文和官方仓库[1]。本文选取六个领域，覆盖周频与月频、单变量与多变量、长序列与少样本。原始文件保留不变，所有清洗结果写入 data_processed 和 outputs。</w:t>
      </w:r>
    </w:p>
    <w:p>
      <w:pPr>
        <w:pStyle w:val="Caption"/>
        <w:spacing w:before="60" w:after="100"/>
        <w:jc w:val="center"/>
      </w:pPr>
      <w:r>
        <w:rPr>
          <w:rFonts w:ascii="Times New Roman" w:hAnsi="Times New Roman" w:cs="Times New Roman" w:eastAsia="宋体"/>
        </w:rPr>
        <w:t>表 3 六领域数值数据与排序审计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20"/>
        <w:gridCol w:w="1320"/>
        <w:gridCol w:w="1320"/>
        <w:gridCol w:w="1320"/>
        <w:gridCol w:w="1320"/>
        <w:gridCol w:w="1320"/>
        <w:gridCol w:w="1320"/>
      </w:tblGrid>
      <w:tr>
        <w:trPr>
          <w:tblHeader w:val="true"/>
        </w:trPr>
        <w:tc>
          <w:tcPr>
            <w:tcW w:type="dxa" w:w="147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领域</w:t>
            </w:r>
          </w:p>
        </w:tc>
        <w:tc>
          <w:tcPr>
            <w:tcW w:type="dxa" w:w="90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行数</w:t>
            </w:r>
          </w:p>
        </w:tc>
        <w:tc>
          <w:tcPr>
            <w:tcW w:type="dxa" w:w="1020"/>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数值列</w:t>
            </w:r>
          </w:p>
        </w:tc>
        <w:tc>
          <w:tcPr>
            <w:tcW w:type="dxa" w:w="136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起始</w:t>
            </w:r>
          </w:p>
        </w:tc>
        <w:tc>
          <w:tcPr>
            <w:tcW w:type="dxa" w:w="136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结束</w:t>
            </w:r>
          </w:p>
        </w:tc>
        <w:tc>
          <w:tcPr>
            <w:tcW w:type="dxa" w:w="1020"/>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重排数</w:t>
            </w:r>
          </w:p>
        </w:tc>
        <w:tc>
          <w:tcPr>
            <w:tcW w:type="dxa" w:w="1020"/>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OT缺失</w:t>
            </w:r>
          </w:p>
        </w:tc>
      </w:tr>
      <w:tr>
        <w:trPr>
          <w:cantSplit/>
        </w:trPr>
        <w:tc>
          <w:tcPr>
            <w:tcW w:type="dxa" w:w="147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Agriculture</w:t>
            </w:r>
          </w:p>
        </w:tc>
        <w:tc>
          <w:tcPr>
            <w:tcW w:type="dxa" w:w="90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532</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3</w:t>
            </w:r>
          </w:p>
        </w:tc>
        <w:tc>
          <w:tcPr>
            <w:tcW w:type="dxa" w:w="136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1980-01</w:t>
            </w:r>
          </w:p>
        </w:tc>
        <w:tc>
          <w:tcPr>
            <w:tcW w:type="dxa" w:w="136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2024-04</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r>
      <w:tr>
        <w:trPr>
          <w:cantSplit/>
        </w:trPr>
        <w:tc>
          <w:tcPr>
            <w:tcW w:type="dxa" w:w="147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Climate</w:t>
            </w:r>
          </w:p>
        </w:tc>
        <w:tc>
          <w:tcPr>
            <w:tcW w:type="dxa" w:w="90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1272</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8</w:t>
            </w:r>
          </w:p>
        </w:tc>
        <w:tc>
          <w:tcPr>
            <w:tcW w:type="dxa" w:w="136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2000-01</w:t>
            </w:r>
          </w:p>
        </w:tc>
        <w:tc>
          <w:tcPr>
            <w:tcW w:type="dxa" w:w="136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2024-05</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1272</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r>
      <w:tr>
        <w:trPr>
          <w:cantSplit/>
        </w:trPr>
        <w:tc>
          <w:tcPr>
            <w:tcW w:type="dxa" w:w="147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Economy</w:t>
            </w:r>
          </w:p>
        </w:tc>
        <w:tc>
          <w:tcPr>
            <w:tcW w:type="dxa" w:w="90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447</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3</w:t>
            </w:r>
          </w:p>
        </w:tc>
        <w:tc>
          <w:tcPr>
            <w:tcW w:type="dxa" w:w="136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1987-01</w:t>
            </w:r>
          </w:p>
        </w:tc>
        <w:tc>
          <w:tcPr>
            <w:tcW w:type="dxa" w:w="136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2024-03</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447</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r>
      <w:tr>
        <w:trPr>
          <w:cantSplit/>
        </w:trPr>
        <w:tc>
          <w:tcPr>
            <w:tcW w:type="dxa" w:w="147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Energy</w:t>
            </w:r>
          </w:p>
        </w:tc>
        <w:tc>
          <w:tcPr>
            <w:tcW w:type="dxa" w:w="90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1622</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9</w:t>
            </w:r>
          </w:p>
        </w:tc>
        <w:tc>
          <w:tcPr>
            <w:tcW w:type="dxa" w:w="136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1993-04</w:t>
            </w:r>
          </w:p>
        </w:tc>
        <w:tc>
          <w:tcPr>
            <w:tcW w:type="dxa" w:w="136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2024-04</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r>
      <w:tr>
        <w:trPr>
          <w:cantSplit/>
        </w:trPr>
        <w:tc>
          <w:tcPr>
            <w:tcW w:type="dxa" w:w="147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Security</w:t>
            </w:r>
          </w:p>
        </w:tc>
        <w:tc>
          <w:tcPr>
            <w:tcW w:type="dxa" w:w="90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309</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w:t>
            </w:r>
          </w:p>
        </w:tc>
        <w:tc>
          <w:tcPr>
            <w:tcW w:type="dxa" w:w="136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1998-09</w:t>
            </w:r>
          </w:p>
        </w:tc>
        <w:tc>
          <w:tcPr>
            <w:tcW w:type="dxa" w:w="136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2024-05</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c>
          <w:tcPr>
            <w:tcW w:type="dxa" w:w="102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r>
      <w:tr>
        <w:trPr>
          <w:cantSplit/>
        </w:trPr>
        <w:tc>
          <w:tcPr>
            <w:tcW w:type="dxa" w:w="147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Traffic</w:t>
            </w:r>
          </w:p>
        </w:tc>
        <w:tc>
          <w:tcPr>
            <w:tcW w:type="dxa" w:w="90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651</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w:t>
            </w:r>
          </w:p>
        </w:tc>
        <w:tc>
          <w:tcPr>
            <w:tcW w:type="dxa" w:w="136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1970-01</w:t>
            </w:r>
          </w:p>
        </w:tc>
        <w:tc>
          <w:tcPr>
            <w:tcW w:type="dxa" w:w="136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2024-03</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c>
          <w:tcPr>
            <w:tcW w:type="dxa" w:w="102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w:t>
            </w:r>
          </w:p>
        </w:tc>
      </w:tr>
    </w:tbl>
    <w:p>
      <w:pPr>
        <w:spacing w:after="40"/>
      </w:pPr>
    </w:p>
    <w:p>
      <w:pPr>
        <w:pStyle w:val="Heading2"/>
        <w:keepNext/>
        <w:spacing w:before="140" w:after="100"/>
      </w:pPr>
      <w:r>
        <w:rPr>
          <w:rFonts w:ascii="Times New Roman" w:hAnsi="Times New Roman" w:cs="Times New Roman" w:eastAsia="黑体"/>
        </w:rPr>
        <w:t>3.2 数值预处理</w:t>
      </w:r>
    </w:p>
    <w:p>
      <w:pPr>
        <w:spacing w:line="348" w:lineRule="auto" w:after="100"/>
        <w:ind w:firstLine="420"/>
      </w:pPr>
      <w:r>
        <w:rPr>
          <w:rFonts w:ascii="Times New Roman" w:hAnsi="Times New Roman" w:cs="Times New Roman" w:eastAsia="宋体"/>
        </w:rPr>
        <w:t>先解析日期区间并按 start_date、end_date 稳定升序排序。目标 OT 以训练期均值和总体标准差标准化，验证与测试只使用训练期参数。多变量模型的各数值列同样以训练期统计量标准化。样本按滑动窗口构造，但训练、验证和测试边界处不允许目标跨段。</w:t>
      </w:r>
    </w:p>
    <w:p>
      <w:pPr>
        <w:spacing w:before="100" w:after="100"/>
        <w:jc w:val="center"/>
      </w:pPr>
      <w:r>
        <w:rPr>
          <w:rFonts w:ascii="Times New Roman" w:hAnsi="Times New Roman" w:eastAsia="宋体" w:cs="Times New Roman"/>
          <w:sz w:val="22"/>
        </w:rPr>
        <w:t>x̃ₜ = (xₜ − μ_train) / σ_train    （1）</w:t>
      </w:r>
    </w:p>
    <w:p>
      <w:pPr>
        <w:pStyle w:val="Heading2"/>
        <w:keepNext/>
        <w:spacing w:before="140" w:after="100"/>
      </w:pPr>
      <w:r>
        <w:rPr>
          <w:rFonts w:ascii="Times New Roman" w:hAnsi="Times New Roman" w:cs="Times New Roman" w:eastAsia="黑体"/>
        </w:rPr>
        <w:t>3.3 文本预处理与泄漏控制</w:t>
      </w:r>
    </w:p>
    <w:p>
      <w:pPr>
        <w:spacing w:line="348" w:lineRule="auto" w:after="100"/>
        <w:ind w:firstLine="420"/>
      </w:pPr>
      <w:r>
        <w:rPr>
          <w:rFonts w:ascii="Times New Roman" w:hAnsi="Times New Roman" w:cs="Times New Roman" w:eastAsia="宋体"/>
        </w:rPr>
        <w:t>只保留非空 fact，排除 preds 与 pred；同领域同来源的规范化完全重复事实只保留最早结束区间。对预测起点 t，文本必须位于同一历史窗口内且满足 end_date&lt;t。该规则比允许同周期文本更保守，但 end_date 并非经外部核验的发布日期，因此结果仍属于基于可得时间代理的回测。</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580000" cy="3293720"/>
            <wp:docPr id="1" name="Picture 1" descr="图 1 严格时点约束下各领域文本覆盖"/>
            <wp:cNvGraphicFramePr>
              <a:graphicFrameLocks noChangeAspect="1"/>
            </wp:cNvGraphicFramePr>
            <a:graphic>
              <a:graphicData uri="http://schemas.openxmlformats.org/drawingml/2006/picture">
                <pic:pic>
                  <pic:nvPicPr>
                    <pic:cNvPr id="0" name="fig02_text_coverage.png"/>
                    <pic:cNvPicPr/>
                  </pic:nvPicPr>
                  <pic:blipFill>
                    <a:blip r:embed="rId11"/>
                    <a:stretch>
                      <a:fillRect/>
                    </a:stretch>
                  </pic:blipFill>
                  <pic:spPr>
                    <a:xfrm>
                      <a:off x="0" y="0"/>
                      <a:ext cx="5580000" cy="3293720"/>
                    </a:xfrm>
                    <a:prstGeom prst="rect"/>
                  </pic:spPr>
                </pic:pic>
              </a:graphicData>
            </a:graphic>
          </wp:inline>
        </w:drawing>
      </w:r>
    </w:p>
    <w:p>
      <w:pPr>
        <w:pStyle w:val="Caption"/>
        <w:spacing w:before="60" w:after="100"/>
        <w:jc w:val="center"/>
      </w:pPr>
      <w:r>
        <w:rPr>
          <w:rFonts w:ascii="Times New Roman" w:hAnsi="Times New Roman" w:cs="Times New Roman" w:eastAsia="宋体"/>
        </w:rPr>
        <w:t>图 1 严格时点约束下各领域文本覆盖</w:t>
      </w:r>
    </w:p>
    <w:p>
      <w:pPr>
        <w:spacing w:line="348" w:lineRule="auto" w:after="100"/>
        <w:ind w:firstLine="420"/>
      </w:pPr>
      <w:r>
        <w:rPr>
          <w:rFonts w:ascii="Times New Roman" w:hAnsi="Times New Roman" w:cs="Times New Roman" w:eastAsia="宋体"/>
        </w:rPr>
        <w:t>去重语料共14281条；每个样本每来源最多选32条。文本中含 forecast、will、expect 等未来措辞仅作为审计特征而不自动删除，因为这些措辞可能出现在预测起点前已发布的历史报告中。模型同时接收来源缺失、可用和选中数量、文本年龄与未来措辞比例等10维质量特征。</w:t>
      </w:r>
    </w:p>
    <w:p>
      <w:pPr>
        <w:pStyle w:val="Heading1"/>
        <w:keepNext/>
        <w:spacing w:before="200" w:after="100"/>
      </w:pPr>
      <w:r>
        <w:rPr>
          <w:rFonts w:ascii="Times New Roman" w:hAnsi="Times New Roman" w:cs="Times New Roman" w:eastAsia="黑体"/>
        </w:rPr>
        <w:t>4 模型假设与符号</w:t>
      </w:r>
    </w:p>
    <w:p>
      <w:pPr>
        <w:pStyle w:val="Heading2"/>
        <w:keepNext/>
        <w:spacing w:before="140" w:after="100"/>
      </w:pPr>
      <w:r>
        <w:rPr>
          <w:rFonts w:ascii="Times New Roman" w:hAnsi="Times New Roman" w:cs="Times New Roman" w:eastAsia="黑体"/>
        </w:rPr>
        <w:t>4.1 模型假设</w:t>
      </w:r>
    </w:p>
    <w:p>
      <w:pPr>
        <w:pStyle w:val="ListBullet"/>
        <w:spacing w:line="324" w:lineRule="auto" w:after="60"/>
        <w:ind w:left="425"/>
      </w:pPr>
      <w:r>
        <w:rPr>
          <w:rFonts w:ascii="Times New Roman" w:hAnsi="Times New Roman" w:cs="Times New Roman" w:eastAsia="宋体"/>
        </w:rPr>
        <w:t>在每个数据文件内部，稳定升序后的日期能够表示观测先后顺序。</w:t>
      </w:r>
    </w:p>
    <w:p>
      <w:pPr>
        <w:pStyle w:val="ListBullet"/>
        <w:spacing w:line="324" w:lineRule="auto" w:after="60"/>
        <w:ind w:left="425"/>
      </w:pPr>
      <w:r>
        <w:rPr>
          <w:rFonts w:ascii="Times New Roman" w:hAnsi="Times New Roman" w:cs="Times New Roman" w:eastAsia="宋体"/>
        </w:rPr>
        <w:t>训练期标准化参数可用于后续时间段；明显分布漂移将作为误差来源而非被隐去。</w:t>
      </w:r>
    </w:p>
    <w:p>
      <w:pPr>
        <w:pStyle w:val="ListBullet"/>
        <w:spacing w:line="324" w:lineRule="auto" w:after="60"/>
        <w:ind w:left="425"/>
      </w:pPr>
      <w:r>
        <w:rPr>
          <w:rFonts w:ascii="Times New Roman" w:hAnsi="Times New Roman" w:cs="Times New Roman" w:eastAsia="宋体"/>
        </w:rPr>
        <w:t>end_date 早于预测起点是文本可得性的必要代理条件，但不是充分的真实发布日期证明。</w:t>
      </w:r>
    </w:p>
    <w:p>
      <w:pPr>
        <w:pStyle w:val="ListBullet"/>
        <w:spacing w:line="324" w:lineRule="auto" w:after="60"/>
        <w:ind w:left="425"/>
      </w:pPr>
      <w:r>
        <w:rPr>
          <w:rFonts w:ascii="Times New Roman" w:hAnsi="Times New Roman" w:cs="Times New Roman" w:eastAsia="宋体"/>
        </w:rPr>
        <w:t>同一任务内逐预测起点损失存在局部相关，因此区间估计按连续块重采样。</w:t>
      </w:r>
    </w:p>
    <w:p>
      <w:pPr>
        <w:pStyle w:val="ListBullet"/>
        <w:spacing w:line="324" w:lineRule="auto" w:after="60"/>
        <w:ind w:left="425"/>
      </w:pPr>
      <w:r>
        <w:rPr>
          <w:rFonts w:ascii="Times New Roman" w:hAnsi="Times New Roman" w:cs="Times New Roman" w:eastAsia="宋体"/>
        </w:rPr>
        <w:t>验证段能够用于有限的模型与路径选择；小样本任务的统计功效可能不足。</w:t>
      </w:r>
    </w:p>
    <w:p>
      <w:pPr>
        <w:pStyle w:val="Heading2"/>
        <w:keepNext/>
        <w:spacing w:before="140" w:after="100"/>
      </w:pPr>
      <w:r>
        <w:rPr>
          <w:rFonts w:ascii="Times New Roman" w:hAnsi="Times New Roman" w:cs="Times New Roman" w:eastAsia="黑体"/>
        </w:rPr>
        <w:t>4.2 主要符号</w:t>
      </w:r>
    </w:p>
    <w:p>
      <w:pPr>
        <w:pStyle w:val="Caption"/>
        <w:spacing w:before="60" w:after="100"/>
        <w:jc w:val="center"/>
      </w:pPr>
      <w:r>
        <w:rPr>
          <w:rFonts w:ascii="Times New Roman" w:hAnsi="Times New Roman" w:cs="Times New Roman" w:eastAsia="宋体"/>
        </w:rPr>
        <w:t>表 4 主要符号与含义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0"/>
        <w:gridCol w:w="3080"/>
        <w:gridCol w:w="3080"/>
      </w:tblGrid>
      <w:tr>
        <w:trPr>
          <w:tblHeader w:val="true"/>
        </w:trPr>
        <w:tc>
          <w:tcPr>
            <w:tcW w:type="dxa" w:w="158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符号</w:t>
            </w:r>
          </w:p>
        </w:tc>
        <w:tc>
          <w:tcPr>
            <w:tcW w:type="dxa" w:w="5102"/>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含义</w:t>
            </w:r>
          </w:p>
        </w:tc>
        <w:tc>
          <w:tcPr>
            <w:tcW w:type="dxa" w:w="2835"/>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类型或单位</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Xₜ</w:t>
            </w:r>
          </w:p>
        </w:tc>
        <w:tc>
          <w:tcPr>
            <w:tcW w:type="dxa" w:w="5102"/>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截至预测起点的长度L数值窗口</w:t>
            </w:r>
          </w:p>
        </w:tc>
        <w:tc>
          <w:tcPr>
            <w:tcW w:type="dxa" w:w="2835"/>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标准化数值</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Yₜ,H</w:t>
            </w:r>
          </w:p>
        </w:tc>
        <w:tc>
          <w:tcPr>
            <w:tcW w:type="dxa" w:w="5102"/>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未来H步OT目标</w:t>
            </w:r>
          </w:p>
        </w:tc>
        <w:tc>
          <w:tcPr>
            <w:tcW w:type="dxa" w:w="2835"/>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标准化数值</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Zₜ</w:t>
            </w:r>
          </w:p>
        </w:tc>
        <w:tc>
          <w:tcPr>
            <w:tcW w:type="dxa" w:w="5102"/>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report与search事实的聚合向量</w:t>
            </w:r>
          </w:p>
        </w:tc>
        <w:tc>
          <w:tcPr>
            <w:tcW w:type="dxa" w:w="2835"/>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384+384=768维后降维</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qₜ</w:t>
            </w:r>
          </w:p>
        </w:tc>
        <w:tc>
          <w:tcPr>
            <w:tcW w:type="dxa" w:w="5102"/>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文本覆盖 年龄 来源与措辞质量</w:t>
            </w:r>
          </w:p>
        </w:tc>
        <w:tc>
          <w:tcPr>
            <w:tcW w:type="dxa" w:w="2835"/>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10维特征</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bₜ</w:t>
            </w:r>
          </w:p>
        </w:tc>
        <w:tc>
          <w:tcPr>
            <w:tcW w:type="dxa" w:w="510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验证期选定的数值回退预测</w:t>
            </w:r>
          </w:p>
        </w:tc>
        <w:tc>
          <w:tcPr>
            <w:tcW w:type="dxa" w:w="2835"/>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H维</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rₜ</w:t>
            </w:r>
          </w:p>
        </w:tc>
        <w:tc>
          <w:tcPr>
            <w:tcW w:type="dxa" w:w="5102"/>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文本残差候选预测</w:t>
            </w:r>
          </w:p>
        </w:tc>
        <w:tc>
          <w:tcPr>
            <w:tcW w:type="dxa" w:w="2835"/>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H维</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α</w:t>
            </w:r>
          </w:p>
        </w:tc>
        <w:tc>
          <w:tcPr>
            <w:tcW w:type="dxa" w:w="510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Ridge正则系数</w:t>
            </w:r>
          </w:p>
        </w:tc>
        <w:tc>
          <w:tcPr>
            <w:tcW w:type="dxa" w:w="2835"/>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超参数</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pperm</w:t>
            </w:r>
          </w:p>
        </w:tc>
        <w:tc>
          <w:tcPr>
            <w:tcW w:type="dxa" w:w="5102"/>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文本置换检验经验p值</w:t>
            </w:r>
          </w:p>
        </w:tc>
        <w:tc>
          <w:tcPr>
            <w:tcW w:type="dxa" w:w="2835"/>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0至1</w:t>
            </w:r>
          </w:p>
        </w:tc>
      </w:tr>
    </w:tbl>
    <w:p>
      <w:pPr>
        <w:spacing w:after="40"/>
      </w:pPr>
    </w:p>
    <w:p>
      <w:pPr>
        <w:pStyle w:val="Heading1"/>
        <w:keepNext/>
        <w:spacing w:before="200" w:after="100"/>
      </w:pPr>
      <w:r>
        <w:rPr>
          <w:rFonts w:ascii="Times New Roman" w:hAnsi="Times New Roman" w:cs="Times New Roman" w:eastAsia="黑体"/>
        </w:rPr>
        <w:t>5 SafeFAME TS v2模型</w:t>
      </w:r>
    </w:p>
    <w:p>
      <w:pPr>
        <w:pStyle w:val="Heading2"/>
        <w:keepNext/>
        <w:spacing w:before="140" w:after="100"/>
      </w:pPr>
      <w:r>
        <w:rPr>
          <w:rFonts w:ascii="Times New Roman" w:hAnsi="Times New Roman" w:cs="Times New Roman" w:eastAsia="黑体"/>
        </w:rPr>
        <w:t>5.1 数值专家池</w:t>
      </w:r>
    </w:p>
    <w:p>
      <w:pPr>
        <w:spacing w:line="348" w:lineRule="auto" w:after="100"/>
        <w:ind w:firstLine="420"/>
      </w:pPr>
      <w:r>
        <w:rPr>
          <w:rFonts w:ascii="Times New Roman" w:hAnsi="Times New Roman" w:cs="Times New Roman" w:eastAsia="宋体"/>
        </w:rPr>
        <w:t>专家包括 Last、SeasonalNaive、AR-Ridge、DLinear-M 与 PatchTST。Last 复制窗口最后值；季节朴素使用对应周期滞后；AR-Ridge 把长度L窗口映射至H步；DLinear-M 对趋势与季节分量建立线性映射；PatchTST 将单目标窗口切为重叠patch并用Transformer编码。专家选择只根据校准段MSE。</w:t>
      </w:r>
    </w:p>
    <w:p>
      <w:pPr>
        <w:spacing w:before="100" w:after="100"/>
        <w:jc w:val="center"/>
      </w:pPr>
      <w:r>
        <w:rPr>
          <w:rFonts w:ascii="Times New Roman" w:hAnsi="Times New Roman" w:eastAsia="宋体" w:cs="Times New Roman"/>
          <w:sz w:val="22"/>
        </w:rPr>
        <w:t>m* = arg minₘ MSE_calibration(m)    （2）</w:t>
      </w:r>
    </w:p>
    <w:p>
      <w:pPr>
        <w:pStyle w:val="Heading2"/>
        <w:keepNext/>
        <w:spacing w:before="140" w:after="100"/>
      </w:pPr>
      <w:r>
        <w:rPr>
          <w:rFonts w:ascii="Times New Roman" w:hAnsi="Times New Roman" w:cs="Times New Roman" w:eastAsia="黑体"/>
        </w:rPr>
        <w:t>5.2 文本聚合</w:t>
      </w:r>
    </w:p>
    <w:p>
      <w:pPr>
        <w:spacing w:line="348" w:lineRule="auto" w:after="100"/>
        <w:ind w:firstLine="420"/>
      </w:pPr>
      <w:r>
        <w:rPr>
          <w:rFonts w:ascii="Times New Roman" w:hAnsi="Times New Roman" w:cs="Times New Roman" w:eastAsia="宋体"/>
        </w:rPr>
        <w:t>事实向量由冻结 all-MiniLM-L6-v2 生成。报告与搜索文本分开聚合，权重仅由事实年龄决定；质量特征不进入聚合权重，而是在残差模型中作为独立输入。这一区分保证公式与代码一致。</w:t>
      </w:r>
    </w:p>
    <w:p>
      <w:pPr>
        <w:spacing w:before="100" w:after="100"/>
        <w:jc w:val="center"/>
      </w:pPr>
      <w:r>
        <w:rPr>
          <w:rFonts w:ascii="Times New Roman" w:hAnsi="Times New Roman" w:eastAsia="宋体" w:cs="Times New Roman"/>
          <w:sz w:val="22"/>
        </w:rPr>
        <w:t>zₜ = Normalize(Σᵢwᵢeᵢ / Σᵢwᵢ)，wᵢ = exp(−ln2·ageᵢ / τ)    （3）</w:t>
      </w:r>
    </w:p>
    <w:p>
      <w:pPr>
        <w:pStyle w:val="Heading2"/>
        <w:keepNext/>
        <w:spacing w:before="140" w:after="100"/>
      </w:pPr>
      <w:r>
        <w:rPr>
          <w:rFonts w:ascii="Times New Roman" w:hAnsi="Times New Roman" w:cs="Times New Roman" w:eastAsia="黑体"/>
        </w:rPr>
        <w:t>5.3 语义与频率残差候选</w:t>
      </w:r>
    </w:p>
    <w:p>
      <w:pPr>
        <w:spacing w:line="348" w:lineRule="auto" w:after="100"/>
        <w:ind w:firstLine="420"/>
      </w:pPr>
      <w:r>
        <w:rPr>
          <w:rFonts w:ascii="Times New Roman" w:hAnsi="Times New Roman" w:cs="Times New Roman" w:eastAsia="宋体"/>
        </w:rPr>
        <w:t>语义候选的设计矩阵由标准化历史窗口、训练期拟合的PCA语义主成分和标准化质量特征组成。频率候选额外加入窗口频率统计及其与语义主成分前8维的乘积交互。两者预测 Last 锚点的H步残差，而不是直接与任意数值专家输出拼接。由于路径资格比较对象是校准选出的数值回退，候选相对回退的差异同时包含残差结构和文本输入，不能直接称为纯文本效应。本文因此增加结构匹配的纯数值残差对照：语义路径对照只保留数值窗口，频率路径对照保留数值窗口和频率统计。</w:t>
      </w:r>
    </w:p>
    <w:p>
      <w:pPr>
        <w:spacing w:before="100" w:after="100"/>
        <w:jc w:val="center"/>
      </w:pPr>
      <w:r>
        <w:rPr>
          <w:rFonts w:ascii="Times New Roman" w:hAnsi="Times New Roman" w:eastAsia="宋体" w:cs="Times New Roman"/>
          <w:sz w:val="22"/>
        </w:rPr>
        <w:t>δ̂ = arg minδ {Σₜ‖Yₜ − Last(Xₜ) − Φ(Xₜ,Zₜ,qₜ)δ‖₂² + α‖δ‖₂²}    （4）</w:t>
      </w:r>
    </w:p>
    <w:p>
      <w:pPr>
        <w:pStyle w:val="Heading2"/>
        <w:keepNext/>
        <w:spacing w:before="140" w:after="100"/>
      </w:pPr>
      <w:r>
        <w:rPr>
          <w:rFonts w:ascii="Times New Roman" w:hAnsi="Times New Roman" w:cs="Times New Roman" w:eastAsia="黑体"/>
        </w:rPr>
        <w:t>5.4 资格判定与输出</w:t>
      </w:r>
    </w:p>
    <w:p>
      <w:pPr>
        <w:spacing w:line="348" w:lineRule="auto" w:after="100"/>
        <w:ind w:firstLine="420"/>
      </w:pPr>
      <w:r>
        <w:rPr>
          <w:rFonts w:ascii="Times New Roman" w:hAnsi="Times New Roman" w:cs="Times New Roman" w:eastAsia="宋体"/>
        </w:rPr>
        <w:t>验证期按时间对半。前半选择数值专家、Ridge正则和深度模型早停轮数；后半保持未见，用于文本路径资格。冻结协议对每个候选执行99次文本与质量行置换，经验p值采用加一校正。Bonferroni校正族定义为同一领域与跨度任务内的语义和频率两条候选，因此阈值取0.05/2=0.025；该校正不覆盖18项任务之间的探索性测试期区间。99次置换的p值分辨率仅为0.01，所以另以固定原校准正则系数的999次循环移位置换做敏感性检查。循环移位保留各数据段内部文本序列的局部结构，只破坏文本与数值起点的同步关系。</w:t>
      </w:r>
    </w:p>
    <w:p>
      <w:pPr>
        <w:spacing w:before="100" w:after="100"/>
        <w:jc w:val="center"/>
      </w:pPr>
      <w:r>
        <w:rPr>
          <w:rFonts w:ascii="Times New Roman" w:hAnsi="Times New Roman" w:eastAsia="宋体" w:cs="Times New Roman"/>
          <w:sz w:val="22"/>
        </w:rPr>
        <w:t>p_perm = [1 + #(MSE_perm ≤ MSE_aligned)] / (99 + 1)    （5）</w:t>
      </w:r>
    </w:p>
    <w:p>
      <w:pPr>
        <w:spacing w:before="100" w:after="100"/>
        <w:jc w:val="center"/>
      </w:pPr>
      <w:r>
        <w:rPr>
          <w:rFonts w:ascii="Times New Roman" w:hAnsi="Times New Roman" w:eastAsia="宋体" w:cs="Times New Roman"/>
          <w:sz w:val="22"/>
        </w:rPr>
        <w:t>ŷ = r_best（总体胜出且两段均胜出且 p_perm ≤ 0.025），否则 ŷ = b    （6）</w:t>
      </w:r>
    </w:p>
    <w:p>
      <w:pPr>
        <w:pStyle w:val="Heading2"/>
        <w:keepNext/>
        <w:spacing w:before="140" w:after="100"/>
      </w:pPr>
      <w:r>
        <w:rPr>
          <w:rFonts w:ascii="Times New Roman" w:hAnsi="Times New Roman" w:cs="Times New Roman" w:eastAsia="黑体"/>
        </w:rPr>
        <w:t>5.5 算法过程</w:t>
      </w:r>
    </w:p>
    <w:p>
      <w:pPr>
        <w:pStyle w:val="Caption"/>
        <w:spacing w:before="60" w:after="100"/>
        <w:jc w:val="center"/>
      </w:pPr>
      <w:r>
        <w:rPr>
          <w:rFonts w:ascii="Times New Roman" w:hAnsi="Times New Roman" w:cs="Times New Roman" w:eastAsia="宋体"/>
        </w:rPr>
        <w:t>表 5 SafeFAME TS v2算法步骤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0"/>
        <w:gridCol w:w="2310"/>
        <w:gridCol w:w="2310"/>
        <w:gridCol w:w="2310"/>
      </w:tblGrid>
      <w:tr>
        <w:trPr>
          <w:tblHeader w:val="true"/>
        </w:trPr>
        <w:tc>
          <w:tcPr>
            <w:tcW w:type="dxa" w:w="113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步骤</w:t>
            </w:r>
          </w:p>
        </w:tc>
        <w:tc>
          <w:tcPr>
            <w:tcW w:type="dxa" w:w="232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输入</w:t>
            </w:r>
          </w:p>
        </w:tc>
        <w:tc>
          <w:tcPr>
            <w:tcW w:type="dxa" w:w="4252"/>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处理</w:t>
            </w:r>
          </w:p>
        </w:tc>
        <w:tc>
          <w:tcPr>
            <w:tcW w:type="dxa" w:w="1928"/>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输出</w:t>
            </w:r>
          </w:p>
        </w:tc>
      </w:tr>
      <w:tr>
        <w:trPr>
          <w:cantSplit/>
        </w:trPr>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w:t>
            </w:r>
          </w:p>
        </w:tc>
        <w:tc>
          <w:tcPr>
            <w:tcW w:type="dxa" w:w="232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原始CSV</w:t>
            </w:r>
          </w:p>
        </w:tc>
        <w:tc>
          <w:tcPr>
            <w:tcW w:type="dxa" w:w="4252"/>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日期稳定排序 训练期标准化</w:t>
            </w:r>
          </w:p>
        </w:tc>
        <w:tc>
          <w:tcPr>
            <w:tcW w:type="dxa" w:w="192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时间窗口</w:t>
            </w:r>
          </w:p>
        </w:tc>
      </w:tr>
      <w:tr>
        <w:trPr>
          <w:cantSplit/>
        </w:trPr>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w:t>
            </w:r>
          </w:p>
        </w:tc>
        <w:tc>
          <w:tcPr>
            <w:tcW w:type="dxa" w:w="232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fact与日期</w:t>
            </w:r>
          </w:p>
        </w:tc>
        <w:tc>
          <w:tcPr>
            <w:tcW w:type="dxa" w:w="4252"/>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去重 严格时点索引 冻结编码</w:t>
            </w:r>
          </w:p>
        </w:tc>
        <w:tc>
          <w:tcPr>
            <w:tcW w:type="dxa" w:w="192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Z与q</w:t>
            </w:r>
          </w:p>
        </w:tc>
      </w:tr>
      <w:tr>
        <w:trPr>
          <w:cantSplit/>
        </w:trPr>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3</w:t>
            </w:r>
          </w:p>
        </w:tc>
        <w:tc>
          <w:tcPr>
            <w:tcW w:type="dxa" w:w="232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训练和校准</w:t>
            </w:r>
          </w:p>
        </w:tc>
        <w:tc>
          <w:tcPr>
            <w:tcW w:type="dxa" w:w="4252"/>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训练五类专家并按校准MSE选回退</w:t>
            </w:r>
          </w:p>
        </w:tc>
        <w:tc>
          <w:tcPr>
            <w:tcW w:type="dxa" w:w="192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b</w:t>
            </w:r>
          </w:p>
        </w:tc>
      </w:tr>
      <w:tr>
        <w:trPr>
          <w:cantSplit/>
        </w:trPr>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4</w:t>
            </w:r>
          </w:p>
        </w:tc>
        <w:tc>
          <w:tcPr>
            <w:tcW w:type="dxa" w:w="232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训练和校准</w:t>
            </w:r>
          </w:p>
        </w:tc>
        <w:tc>
          <w:tcPr>
            <w:tcW w:type="dxa" w:w="4252"/>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PCA与Ridge选择语义 频率候选</w:t>
            </w:r>
          </w:p>
        </w:tc>
        <w:tc>
          <w:tcPr>
            <w:tcW w:type="dxa" w:w="192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候选参数</w:t>
            </w:r>
          </w:p>
        </w:tc>
      </w:tr>
      <w:tr>
        <w:trPr>
          <w:cantSplit/>
        </w:trPr>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5</w:t>
            </w:r>
          </w:p>
        </w:tc>
        <w:tc>
          <w:tcPr>
            <w:tcW w:type="dxa" w:w="232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独立决策段</w:t>
            </w:r>
          </w:p>
        </w:tc>
        <w:tc>
          <w:tcPr>
            <w:tcW w:type="dxa" w:w="425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总体 分段 99次置换</w:t>
            </w:r>
          </w:p>
        </w:tc>
        <w:tc>
          <w:tcPr>
            <w:tcW w:type="dxa" w:w="192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资格标记</w:t>
            </w:r>
          </w:p>
        </w:tc>
      </w:tr>
      <w:tr>
        <w:trPr>
          <w:cantSplit/>
        </w:trPr>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6</w:t>
            </w:r>
          </w:p>
        </w:tc>
        <w:tc>
          <w:tcPr>
            <w:tcW w:type="dxa" w:w="232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训练加验证</w:t>
            </w:r>
          </w:p>
        </w:tc>
        <w:tc>
          <w:tcPr>
            <w:tcW w:type="dxa" w:w="4252"/>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按冻结参数重训</w:t>
            </w:r>
          </w:p>
        </w:tc>
        <w:tc>
          <w:tcPr>
            <w:tcW w:type="dxa" w:w="192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最终模型</w:t>
            </w:r>
          </w:p>
        </w:tc>
      </w:tr>
      <w:tr>
        <w:trPr>
          <w:cantSplit/>
        </w:trPr>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7</w:t>
            </w:r>
          </w:p>
        </w:tc>
        <w:tc>
          <w:tcPr>
            <w:tcW w:type="dxa" w:w="232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测试</w:t>
            </w:r>
          </w:p>
        </w:tc>
        <w:tc>
          <w:tcPr>
            <w:tcW w:type="dxa" w:w="4252"/>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MSE MAE RMSE和移动块区间</w:t>
            </w:r>
          </w:p>
        </w:tc>
        <w:tc>
          <w:tcPr>
            <w:tcW w:type="dxa" w:w="192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结果与审计</w:t>
            </w:r>
          </w:p>
        </w:tc>
      </w:tr>
    </w:tbl>
    <w:p>
      <w:pPr>
        <w:spacing w:after="40"/>
      </w:pPr>
    </w:p>
    <w:p>
      <w:pPr>
        <w:pStyle w:val="Heading1"/>
        <w:keepNext/>
        <w:spacing w:before="200" w:after="100"/>
      </w:pPr>
      <w:r>
        <w:rPr>
          <w:rFonts w:ascii="Times New Roman" w:hAnsi="Times New Roman" w:cs="Times New Roman" w:eastAsia="黑体"/>
        </w:rPr>
        <w:t>6 实验设计与求解</w:t>
      </w:r>
    </w:p>
    <w:p>
      <w:pPr>
        <w:pStyle w:val="Heading2"/>
        <w:keepNext/>
        <w:spacing w:before="140" w:after="100"/>
      </w:pPr>
      <w:r>
        <w:rPr>
          <w:rFonts w:ascii="Times New Roman" w:hAnsi="Times New Roman" w:cs="Times New Roman" w:eastAsia="黑体"/>
        </w:rPr>
        <w:t>6.1 数据划分与独立样本单位</w:t>
      </w:r>
    </w:p>
    <w:p>
      <w:pPr>
        <w:spacing w:line="348" w:lineRule="auto" w:after="100"/>
        <w:ind w:firstLine="420"/>
      </w:pPr>
      <w:r>
        <w:rPr>
          <w:rFonts w:ascii="Times New Roman" w:hAnsi="Times New Roman" w:cs="Times New Roman" w:eastAsia="宋体"/>
        </w:rPr>
        <w:t>Time-MMD 每个领域按70%训练、10%验证、20%测试顺序划分，验证再分为校准和路径决策。18项任务共648个校准起点、655个决策起点和2764个测试起点。独立统计单位是预测起点，而非每个H步误差；每个起点先对H步和变量取平均损失。</w:t>
      </w:r>
    </w:p>
    <w:p>
      <w:pPr>
        <w:pStyle w:val="Heading2"/>
        <w:keepNext/>
        <w:spacing w:before="140" w:after="100"/>
      </w:pPr>
      <w:r>
        <w:rPr>
          <w:rFonts w:ascii="Times New Roman" w:hAnsi="Times New Roman" w:cs="Times New Roman" w:eastAsia="黑体"/>
        </w:rPr>
        <w:t>6.2 超参数与训练</w:t>
      </w:r>
    </w:p>
    <w:p>
      <w:pPr>
        <w:pStyle w:val="Caption"/>
        <w:spacing w:before="60" w:after="100"/>
        <w:jc w:val="center"/>
      </w:pPr>
      <w:r>
        <w:rPr>
          <w:rFonts w:ascii="Times New Roman" w:hAnsi="Times New Roman" w:cs="Times New Roman" w:eastAsia="宋体"/>
        </w:rPr>
        <w:t>表 6 核心超参数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0"/>
        <w:gridCol w:w="4620"/>
      </w:tblGrid>
      <w:tr>
        <w:trPr>
          <w:tblHeader w:val="true"/>
        </w:trPr>
        <w:tc>
          <w:tcPr>
            <w:tcW w:type="dxa" w:w="2268"/>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7"/>
              </w:rPr>
              <w:t>模块</w:t>
            </w:r>
          </w:p>
        </w:tc>
        <w:tc>
          <w:tcPr>
            <w:tcW w:type="dxa" w:w="7370"/>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7"/>
              </w:rPr>
              <w:t>设置</w:t>
            </w:r>
          </w:p>
        </w:tc>
      </w:tr>
      <w:tr>
        <w:trPr>
          <w:cantSplit/>
        </w:trPr>
        <w:tc>
          <w:tcPr>
            <w:tcW w:type="dxa" w:w="226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7"/>
              </w:rPr>
              <w:t>随机种子</w:t>
            </w:r>
          </w:p>
        </w:tc>
        <w:tc>
          <w:tcPr>
            <w:tcW w:type="dxa" w:w="7370"/>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7"/>
              </w:rPr>
              <w:t>2026 2027 2028</w:t>
            </w:r>
          </w:p>
        </w:tc>
      </w:tr>
      <w:tr>
        <w:trPr>
          <w:cantSplit/>
        </w:trPr>
        <w:tc>
          <w:tcPr>
            <w:tcW w:type="dxa" w:w="226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7"/>
              </w:rPr>
              <w:t>深度训练</w:t>
            </w:r>
          </w:p>
        </w:tc>
        <w:tc>
          <w:tcPr>
            <w:tcW w:type="dxa" w:w="7370"/>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7"/>
              </w:rPr>
              <w:t>AdamW 学习率3e-4 权重衰减1e-4 最大60轮 patience 8</w:t>
            </w:r>
          </w:p>
        </w:tc>
      </w:tr>
      <w:tr>
        <w:trPr>
          <w:cantSplit/>
        </w:trPr>
        <w:tc>
          <w:tcPr>
            <w:tcW w:type="dxa" w:w="226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7"/>
              </w:rPr>
              <w:t>PatchTST</w:t>
            </w:r>
          </w:p>
        </w:tc>
        <w:tc>
          <w:tcPr>
            <w:tcW w:type="dxa" w:w="7370"/>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7"/>
              </w:rPr>
              <w:t>d_model 32 四头 两层 d_ff 64 dropout 0.1</w:t>
            </w:r>
          </w:p>
        </w:tc>
      </w:tr>
      <w:tr>
        <w:trPr>
          <w:cantSplit/>
        </w:trPr>
        <w:tc>
          <w:tcPr>
            <w:tcW w:type="dxa" w:w="226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7"/>
              </w:rPr>
              <w:t>语义PCA</w:t>
            </w:r>
          </w:p>
        </w:tc>
        <w:tc>
          <w:tcPr>
            <w:tcW w:type="dxa" w:w="7370"/>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7"/>
              </w:rPr>
              <w:t>768维拼接输入 最多保留24维 仅训练期拟合</w:t>
            </w:r>
          </w:p>
        </w:tc>
      </w:tr>
      <w:tr>
        <w:trPr>
          <w:cantSplit/>
        </w:trPr>
        <w:tc>
          <w:tcPr>
            <w:tcW w:type="dxa" w:w="226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7"/>
              </w:rPr>
              <w:t>Ridge α</w:t>
            </w:r>
          </w:p>
        </w:tc>
        <w:tc>
          <w:tcPr>
            <w:tcW w:type="dxa" w:w="737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7"/>
              </w:rPr>
              <w:t>1e-4至1e4候选</w:t>
            </w:r>
          </w:p>
        </w:tc>
      </w:tr>
      <w:tr>
        <w:trPr>
          <w:cantSplit/>
        </w:trPr>
        <w:tc>
          <w:tcPr>
            <w:tcW w:type="dxa" w:w="226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7"/>
              </w:rPr>
              <w:t>冻结置换</w:t>
            </w:r>
          </w:p>
        </w:tc>
        <w:tc>
          <w:tcPr>
            <w:tcW w:type="dxa" w:w="7370"/>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7"/>
              </w:rPr>
              <w:t>99次逐行错位 加一经验p值</w:t>
            </w:r>
          </w:p>
        </w:tc>
      </w:tr>
      <w:tr>
        <w:trPr>
          <w:cantSplit/>
        </w:trPr>
        <w:tc>
          <w:tcPr>
            <w:tcW w:type="dxa" w:w="226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7"/>
              </w:rPr>
              <w:t>敏感性置换</w:t>
            </w:r>
          </w:p>
        </w:tc>
        <w:tc>
          <w:tcPr>
            <w:tcW w:type="dxa" w:w="7370"/>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7"/>
              </w:rPr>
              <w:t>999次循环移位 固定原校准α</w:t>
            </w:r>
          </w:p>
        </w:tc>
      </w:tr>
      <w:tr>
        <w:trPr>
          <w:cantSplit/>
        </w:trPr>
        <w:tc>
          <w:tcPr>
            <w:tcW w:type="dxa" w:w="226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7"/>
              </w:rPr>
              <w:t>移动块Bootstrap</w:t>
            </w:r>
          </w:p>
        </w:tc>
        <w:tc>
          <w:tcPr>
            <w:tcW w:type="dxa" w:w="7370"/>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7"/>
              </w:rPr>
              <w:t>5000次 块长=max(H,min(季节周期,24))</w:t>
            </w:r>
          </w:p>
        </w:tc>
      </w:tr>
    </w:tbl>
    <w:p>
      <w:pPr>
        <w:spacing w:after="40"/>
      </w:pPr>
    </w:p>
    <w:p>
      <w:pPr>
        <w:pStyle w:val="Heading2"/>
        <w:keepNext/>
        <w:spacing w:before="140" w:after="100"/>
      </w:pPr>
      <w:r>
        <w:rPr>
          <w:rFonts w:ascii="Times New Roman" w:hAnsi="Times New Roman" w:cs="Times New Roman" w:eastAsia="黑体"/>
        </w:rPr>
        <w:t>6.3 评价指标</w:t>
      </w:r>
    </w:p>
    <w:p>
      <w:pPr>
        <w:spacing w:before="100" w:after="100"/>
        <w:jc w:val="center"/>
      </w:pPr>
      <w:r>
        <w:rPr>
          <w:rFonts w:ascii="Times New Roman" w:hAnsi="Times New Roman" w:eastAsia="宋体" w:cs="Times New Roman"/>
          <w:sz w:val="22"/>
        </w:rPr>
        <w:t>MSE = (1 / NH) ΣₙΣₕ (yₙ,ₕ − ŷₙ,ₕ)²    （7）</w:t>
      </w:r>
    </w:p>
    <w:p>
      <w:pPr>
        <w:spacing w:line="348" w:lineRule="auto" w:after="100"/>
        <w:ind w:firstLine="420"/>
      </w:pPr>
      <w:r>
        <w:rPr>
          <w:rFonts w:ascii="Times New Roman" w:hAnsi="Times New Roman" w:cs="Times New Roman" w:eastAsia="宋体"/>
        </w:rPr>
        <w:t>同时报告 MAE 与 RMSE。MSE、MAE、RMSE 均在各领域训练期标准化空间计算，因此同一任务内可比较模型，不把 Security 的绝对值与 Climate 直接比较。候选相对改善定义为100×(1−MSEcandidate/MSEfallback)。</w:t>
      </w:r>
    </w:p>
    <w:p>
      <w:pPr>
        <w:pStyle w:val="Heading2"/>
        <w:keepNext/>
        <w:spacing w:before="140" w:after="100"/>
      </w:pPr>
      <w:r>
        <w:rPr>
          <w:rFonts w:ascii="Times New Roman" w:hAnsi="Times New Roman" w:cs="Times New Roman" w:eastAsia="黑体"/>
        </w:rPr>
        <w:t>6.4 不确定性</w:t>
      </w:r>
    </w:p>
    <w:p>
      <w:pPr>
        <w:spacing w:line="348" w:lineRule="auto" w:after="100"/>
        <w:ind w:firstLine="420"/>
      </w:pPr>
      <w:r>
        <w:rPr>
          <w:rFonts w:ascii="Times New Roman" w:hAnsi="Times New Roman" w:cs="Times New Roman" w:eastAsia="宋体"/>
        </w:rPr>
        <w:t>滑动窗口高度重叠，逐起点损失不是独立样本。本文对回退损失减候选损失做移动块Bootstrap，块长至少为H并最多取24或季节周期，重复5000次，报告2.5%与97.5%分位数[15]。区间完全大于零表示当前重采样设定支持候选改善，完全小于零表示支持候选变差，跨零表示当前样本不足以下定论；这些测试期区间用于诊断，不用于路径选择，也未按18项任务再次进行多重比较校正。</w:t>
      </w:r>
    </w:p>
    <w:p>
      <w:pPr>
        <w:pStyle w:val="Caption"/>
        <w:spacing w:before="60" w:after="100"/>
        <w:jc w:val="center"/>
      </w:pPr>
      <w:r>
        <w:rPr>
          <w:rFonts w:ascii="Times New Roman" w:hAnsi="Times New Roman" w:cs="Times New Roman" w:eastAsia="宋体"/>
        </w:rPr>
        <w:t>表 7 路径决策段样本量与近似功效审计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20"/>
        <w:gridCol w:w="1320"/>
        <w:gridCol w:w="1320"/>
        <w:gridCol w:w="1320"/>
        <w:gridCol w:w="1320"/>
        <w:gridCol w:w="1320"/>
        <w:gridCol w:w="1320"/>
      </w:tblGrid>
      <w:tr>
        <w:trPr>
          <w:tblHeader w:val="true"/>
        </w:trPr>
        <w:tc>
          <w:tcPr>
            <w:tcW w:type="dxa" w:w="153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领域</w:t>
            </w:r>
          </w:p>
        </w:tc>
        <w:tc>
          <w:tcPr>
            <w:tcW w:type="dxa" w:w="510"/>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H</w:t>
            </w:r>
          </w:p>
        </w:tc>
        <w:tc>
          <w:tcPr>
            <w:tcW w:type="dxa" w:w="113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决策起点</w:t>
            </w:r>
          </w:p>
        </w:tc>
        <w:tc>
          <w:tcPr>
            <w:tcW w:type="dxa" w:w="73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块长</w:t>
            </w:r>
          </w:p>
        </w:tc>
        <w:tc>
          <w:tcPr>
            <w:tcW w:type="dxa" w:w="113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非重叠块</w:t>
            </w:r>
          </w:p>
        </w:tc>
        <w:tc>
          <w:tcPr>
            <w:tcW w:type="dxa" w:w="198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语义近似MDE</w:t>
            </w:r>
          </w:p>
        </w:tc>
        <w:tc>
          <w:tcPr>
            <w:tcW w:type="dxa" w:w="198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频率近似MDE</w:t>
            </w:r>
          </w:p>
        </w:tc>
      </w:tr>
      <w:tr>
        <w:trPr>
          <w:cantSplit/>
        </w:trPr>
        <w:tc>
          <w:tcPr>
            <w:tcW w:type="dxa" w:w="153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Climate</w:t>
            </w:r>
          </w:p>
        </w:tc>
        <w:tc>
          <w:tcPr>
            <w:tcW w:type="dxa" w:w="51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4</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62</w:t>
            </w:r>
          </w:p>
        </w:tc>
        <w:tc>
          <w:tcPr>
            <w:tcW w:type="dxa" w:w="73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24</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Climate</w:t>
            </w:r>
          </w:p>
        </w:tc>
        <w:tc>
          <w:tcPr>
            <w:tcW w:type="dxa" w:w="51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58</w:t>
            </w:r>
          </w:p>
        </w:tc>
        <w:tc>
          <w:tcPr>
            <w:tcW w:type="dxa" w:w="73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24</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Climate</w:t>
            </w:r>
          </w:p>
        </w:tc>
        <w:tc>
          <w:tcPr>
            <w:tcW w:type="dxa" w:w="51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24</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52</w:t>
            </w:r>
          </w:p>
        </w:tc>
        <w:tc>
          <w:tcPr>
            <w:tcW w:type="dxa" w:w="73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24</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Energy</w:t>
            </w:r>
          </w:p>
        </w:tc>
        <w:tc>
          <w:tcPr>
            <w:tcW w:type="dxa" w:w="51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4</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80</w:t>
            </w:r>
          </w:p>
        </w:tc>
        <w:tc>
          <w:tcPr>
            <w:tcW w:type="dxa" w:w="73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24</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26.6%</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32.2%</w:t>
            </w:r>
          </w:p>
        </w:tc>
      </w:tr>
      <w:tr>
        <w:trPr>
          <w:cantSplit/>
        </w:trPr>
        <w:tc>
          <w:tcPr>
            <w:tcW w:type="dxa" w:w="153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Energy</w:t>
            </w:r>
          </w:p>
        </w:tc>
        <w:tc>
          <w:tcPr>
            <w:tcW w:type="dxa" w:w="51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76</w:t>
            </w:r>
          </w:p>
        </w:tc>
        <w:tc>
          <w:tcPr>
            <w:tcW w:type="dxa" w:w="73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24</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52.3%</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558.9%</w:t>
            </w:r>
          </w:p>
        </w:tc>
      </w:tr>
      <w:tr>
        <w:trPr>
          <w:cantSplit/>
        </w:trPr>
        <w:tc>
          <w:tcPr>
            <w:tcW w:type="dxa" w:w="153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Energy</w:t>
            </w:r>
          </w:p>
        </w:tc>
        <w:tc>
          <w:tcPr>
            <w:tcW w:type="dxa" w:w="51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24</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70</w:t>
            </w:r>
          </w:p>
        </w:tc>
        <w:tc>
          <w:tcPr>
            <w:tcW w:type="dxa" w:w="73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24</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Economy</w:t>
            </w:r>
          </w:p>
        </w:tc>
        <w:tc>
          <w:tcPr>
            <w:tcW w:type="dxa" w:w="51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22</w:t>
            </w:r>
          </w:p>
        </w:tc>
        <w:tc>
          <w:tcPr>
            <w:tcW w:type="dxa" w:w="73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Economy</w:t>
            </w:r>
          </w:p>
        </w:tc>
        <w:tc>
          <w:tcPr>
            <w:tcW w:type="dxa" w:w="51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6</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20</w:t>
            </w:r>
          </w:p>
        </w:tc>
        <w:tc>
          <w:tcPr>
            <w:tcW w:type="dxa" w:w="73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Economy</w:t>
            </w:r>
          </w:p>
        </w:tc>
        <w:tc>
          <w:tcPr>
            <w:tcW w:type="dxa" w:w="51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17</w:t>
            </w:r>
          </w:p>
        </w:tc>
        <w:tc>
          <w:tcPr>
            <w:tcW w:type="dxa" w:w="73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Traffic</w:t>
            </w:r>
          </w:p>
        </w:tc>
        <w:tc>
          <w:tcPr>
            <w:tcW w:type="dxa" w:w="51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32</w:t>
            </w:r>
          </w:p>
        </w:tc>
        <w:tc>
          <w:tcPr>
            <w:tcW w:type="dxa" w:w="73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Traffic</w:t>
            </w:r>
          </w:p>
        </w:tc>
        <w:tc>
          <w:tcPr>
            <w:tcW w:type="dxa" w:w="51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6</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30</w:t>
            </w:r>
          </w:p>
        </w:tc>
        <w:tc>
          <w:tcPr>
            <w:tcW w:type="dxa" w:w="73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Traffic</w:t>
            </w:r>
          </w:p>
        </w:tc>
        <w:tc>
          <w:tcPr>
            <w:tcW w:type="dxa" w:w="51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27</w:t>
            </w:r>
          </w:p>
        </w:tc>
        <w:tc>
          <w:tcPr>
            <w:tcW w:type="dxa" w:w="73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Agriculture</w:t>
            </w:r>
          </w:p>
        </w:tc>
        <w:tc>
          <w:tcPr>
            <w:tcW w:type="dxa" w:w="51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26</w:t>
            </w:r>
          </w:p>
        </w:tc>
        <w:tc>
          <w:tcPr>
            <w:tcW w:type="dxa" w:w="73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Agriculture</w:t>
            </w:r>
          </w:p>
        </w:tc>
        <w:tc>
          <w:tcPr>
            <w:tcW w:type="dxa" w:w="51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6</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24</w:t>
            </w:r>
          </w:p>
        </w:tc>
        <w:tc>
          <w:tcPr>
            <w:tcW w:type="dxa" w:w="73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Agriculture</w:t>
            </w:r>
          </w:p>
        </w:tc>
        <w:tc>
          <w:tcPr>
            <w:tcW w:type="dxa" w:w="51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21</w:t>
            </w:r>
          </w:p>
        </w:tc>
        <w:tc>
          <w:tcPr>
            <w:tcW w:type="dxa" w:w="73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Security</w:t>
            </w:r>
          </w:p>
        </w:tc>
        <w:tc>
          <w:tcPr>
            <w:tcW w:type="dxa" w:w="51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15</w:t>
            </w:r>
          </w:p>
        </w:tc>
        <w:tc>
          <w:tcPr>
            <w:tcW w:type="dxa" w:w="73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Security</w:t>
            </w:r>
          </w:p>
        </w:tc>
        <w:tc>
          <w:tcPr>
            <w:tcW w:type="dxa" w:w="51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6</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13</w:t>
            </w:r>
          </w:p>
        </w:tc>
        <w:tc>
          <w:tcPr>
            <w:tcW w:type="dxa" w:w="73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r>
        <w:trPr>
          <w:cantSplit/>
        </w:trPr>
        <w:tc>
          <w:tcPr>
            <w:tcW w:type="dxa" w:w="153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Security</w:t>
            </w:r>
          </w:p>
        </w:tc>
        <w:tc>
          <w:tcPr>
            <w:tcW w:type="dxa" w:w="51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10</w:t>
            </w:r>
          </w:p>
        </w:tc>
        <w:tc>
          <w:tcPr>
            <w:tcW w:type="dxa" w:w="73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13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c>
          <w:tcPr>
            <w:tcW w:type="dxa" w:w="198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不足3块</w:t>
            </w:r>
          </w:p>
        </w:tc>
      </w:tr>
    </w:tbl>
    <w:p>
      <w:pPr>
        <w:spacing w:after="40"/>
      </w:pPr>
    </w:p>
    <w:p>
      <w:pPr>
        <w:spacing w:line="348" w:lineRule="auto" w:after="100"/>
        <w:ind w:firstLine="420"/>
      </w:pPr>
      <w:r>
        <w:rPr>
          <w:rFonts w:ascii="Times New Roman" w:hAnsi="Times New Roman" w:cs="Times New Roman" w:eastAsia="宋体"/>
        </w:rPr>
        <w:t>在36条候选路径中，有32条因决策段不足3个完整非重叠块而不报告近似最小可检测效应。能够估计的4条路径也需要约26.6%至558.9%的相对损失差才达到近似80%功效。该计算基于非重叠块均值和正态近似，只是功效警示，不是正式功效证明；它说明严格门槛下的零放行结果同时受到低假阳性目标和小样本低功效影响。</w:t>
      </w:r>
    </w:p>
    <w:p>
      <w:pPr>
        <w:pStyle w:val="Heading1"/>
        <w:keepNext/>
        <w:spacing w:before="200" w:after="100"/>
      </w:pPr>
      <w:r>
        <w:rPr>
          <w:rFonts w:ascii="Times New Roman" w:hAnsi="Times New Roman" w:cs="Times New Roman" w:eastAsia="黑体"/>
        </w:rPr>
        <w:t>7 实验结果</w:t>
      </w:r>
    </w:p>
    <w:p>
      <w:pPr>
        <w:pStyle w:val="Heading2"/>
        <w:keepNext/>
        <w:spacing w:before="140" w:after="100"/>
      </w:pPr>
      <w:r>
        <w:rPr>
          <w:rFonts w:ascii="Times New Roman" w:hAnsi="Times New Roman" w:cs="Times New Roman" w:eastAsia="黑体"/>
        </w:rPr>
        <w:t>7.1 数值回退选择</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4968000" cy="3264470"/>
            <wp:docPr id="2" name="Picture 2" descr="图 2 验证期选定的数值回退专家"/>
            <wp:cNvGraphicFramePr>
              <a:graphicFrameLocks noChangeAspect="1"/>
            </wp:cNvGraphicFramePr>
            <a:graphic>
              <a:graphicData uri="http://schemas.openxmlformats.org/drawingml/2006/picture">
                <pic:pic>
                  <pic:nvPicPr>
                    <pic:cNvPr id="0" name="fig_v2_fallback_experts.png"/>
                    <pic:cNvPicPr/>
                  </pic:nvPicPr>
                  <pic:blipFill>
                    <a:blip r:embed="rId12"/>
                    <a:stretch>
                      <a:fillRect/>
                    </a:stretch>
                  </pic:blipFill>
                  <pic:spPr>
                    <a:xfrm>
                      <a:off x="0" y="0"/>
                      <a:ext cx="4968000" cy="3264470"/>
                    </a:xfrm>
                    <a:prstGeom prst="rect"/>
                  </pic:spPr>
                </pic:pic>
              </a:graphicData>
            </a:graphic>
          </wp:inline>
        </w:drawing>
      </w:r>
    </w:p>
    <w:p>
      <w:pPr>
        <w:pStyle w:val="Caption"/>
        <w:spacing w:before="60" w:after="100"/>
        <w:jc w:val="center"/>
      </w:pPr>
      <w:r>
        <w:rPr>
          <w:rFonts w:ascii="Times New Roman" w:hAnsi="Times New Roman" w:cs="Times New Roman" w:eastAsia="宋体"/>
        </w:rPr>
        <w:t>图 2 验证期选定的数值回退专家</w:t>
      </w:r>
    </w:p>
    <w:p>
      <w:pPr>
        <w:spacing w:line="348" w:lineRule="auto" w:after="100"/>
        <w:ind w:firstLine="420"/>
      </w:pPr>
      <w:r>
        <w:rPr>
          <w:rFonts w:ascii="Times New Roman" w:hAnsi="Times New Roman" w:cs="Times New Roman" w:eastAsia="宋体"/>
        </w:rPr>
        <w:t>PatchTST 被选中8次，SeasonalNaive与AR-Ridge各3次，Last与DLinear-M各2次。经济任务全部选择AR-Ridge，交通任务全部选择季节朴素；这说明专家选择与领域结构一致，也说明单一深度骨干不能替代简单基线。</w:t>
      </w:r>
    </w:p>
    <w:p>
      <w:pPr>
        <w:pStyle w:val="Heading2"/>
        <w:keepNext/>
        <w:spacing w:before="140" w:after="100"/>
      </w:pPr>
      <w:r>
        <w:rPr>
          <w:rFonts w:ascii="Times New Roman" w:hAnsi="Times New Roman" w:cs="Times New Roman" w:eastAsia="黑体"/>
        </w:rPr>
        <w:t>7.2 路径资格结果</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616000" cy="3993654"/>
            <wp:docPr id="3" name="Picture 3" descr="图 3 两条文本候选的验证期置换检验p值"/>
            <wp:cNvGraphicFramePr>
              <a:graphicFrameLocks noChangeAspect="1"/>
            </wp:cNvGraphicFramePr>
            <a:graphic>
              <a:graphicData uri="http://schemas.openxmlformats.org/drawingml/2006/picture">
                <pic:pic>
                  <pic:nvPicPr>
                    <pic:cNvPr id="0" name="fig_v2_permutation_gate.png"/>
                    <pic:cNvPicPr/>
                  </pic:nvPicPr>
                  <pic:blipFill>
                    <a:blip r:embed="rId13"/>
                    <a:stretch>
                      <a:fillRect/>
                    </a:stretch>
                  </pic:blipFill>
                  <pic:spPr>
                    <a:xfrm>
                      <a:off x="0" y="0"/>
                      <a:ext cx="5616000" cy="3993654"/>
                    </a:xfrm>
                    <a:prstGeom prst="rect"/>
                  </pic:spPr>
                </pic:pic>
              </a:graphicData>
            </a:graphic>
          </wp:inline>
        </w:drawing>
      </w:r>
    </w:p>
    <w:p>
      <w:pPr>
        <w:pStyle w:val="Caption"/>
        <w:spacing w:before="60" w:after="100"/>
        <w:jc w:val="center"/>
      </w:pPr>
      <w:r>
        <w:rPr>
          <w:rFonts w:ascii="Times New Roman" w:hAnsi="Times New Roman" w:cs="Times New Roman" w:eastAsia="宋体"/>
        </w:rPr>
        <w:t>图 3 两条文本候选的验证期置换检验p值</w:t>
      </w:r>
    </w:p>
    <w:p>
      <w:pPr>
        <w:spacing w:line="348" w:lineRule="auto" w:after="100"/>
        <w:ind w:firstLine="420"/>
      </w:pPr>
      <w:r>
        <w:rPr>
          <w:rFonts w:ascii="Times New Roman" w:hAnsi="Times New Roman" w:cs="Times New Roman" w:eastAsia="宋体"/>
        </w:rPr>
        <w:t>共36条文本候选路径，其中6条在决策段前后两半均胜过回退，但没有一条达到p≤0.025。最接近门槛的候选p=0.03，仍按预先规则拒绝。最终18项任务全部输出数值回退；该结论由验证段产生，而不是看到测试结果后作出。</w:t>
      </w:r>
    </w:p>
    <w:p>
      <w:pPr>
        <w:pStyle w:val="Heading2"/>
        <w:keepNext/>
        <w:spacing w:before="140" w:after="100"/>
      </w:pPr>
      <w:r>
        <w:rPr>
          <w:rFonts w:ascii="Times New Roman" w:hAnsi="Times New Roman" w:cs="Times New Roman" w:eastAsia="黑体"/>
        </w:rPr>
        <w:t>7.3 测试期事后诊断</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760000" cy="4013308"/>
            <wp:docPr id="4" name="Picture 4" descr="图 4 未被选中文本候选的测试期相对MSE变化"/>
            <wp:cNvGraphicFramePr>
              <a:graphicFrameLocks noChangeAspect="1"/>
            </wp:cNvGraphicFramePr>
            <a:graphic>
              <a:graphicData uri="http://schemas.openxmlformats.org/drawingml/2006/picture">
                <pic:pic>
                  <pic:nvPicPr>
                    <pic:cNvPr id="0" name="fig_v2_candidate_gains.png"/>
                    <pic:cNvPicPr/>
                  </pic:nvPicPr>
                  <pic:blipFill>
                    <a:blip r:embed="rId14"/>
                    <a:stretch>
                      <a:fillRect/>
                    </a:stretch>
                  </pic:blipFill>
                  <pic:spPr>
                    <a:xfrm>
                      <a:off x="0" y="0"/>
                      <a:ext cx="5760000" cy="4013308"/>
                    </a:xfrm>
                    <a:prstGeom prst="rect"/>
                  </pic:spPr>
                </pic:pic>
              </a:graphicData>
            </a:graphic>
          </wp:inline>
        </w:drawing>
      </w:r>
    </w:p>
    <w:p>
      <w:pPr>
        <w:pStyle w:val="Caption"/>
        <w:spacing w:before="60" w:after="100"/>
        <w:jc w:val="center"/>
      </w:pPr>
      <w:r>
        <w:rPr>
          <w:rFonts w:ascii="Times New Roman" w:hAnsi="Times New Roman" w:cs="Times New Roman" w:eastAsia="宋体"/>
        </w:rPr>
        <w:t>图 4 未被选中文本候选的测试期相对MSE变化</w:t>
      </w:r>
    </w:p>
    <w:p>
      <w:pPr>
        <w:spacing w:line="348" w:lineRule="auto" w:after="100"/>
        <w:ind w:firstLine="420"/>
      </w:pPr>
      <w:r>
        <w:rPr>
          <w:rFonts w:ascii="Times New Roman" w:hAnsi="Times New Roman" w:cs="Times New Roman" w:eastAsia="宋体"/>
        </w:rPr>
        <w:t>语义候选在13项任务有正点估计，频率候选仅在8项为正；经济三项和若干安全任务损失明显增加。点估计不能绕过验证期资格，因为这相当于用测试集选择路径。</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688000" cy="3750000"/>
            <wp:docPr id="5" name="Picture 5" descr="图 5 语义候选逐任务移动块Bootstrap区间"/>
            <wp:cNvGraphicFramePr>
              <a:graphicFrameLocks noChangeAspect="1"/>
            </wp:cNvGraphicFramePr>
            <a:graphic>
              <a:graphicData uri="http://schemas.openxmlformats.org/drawingml/2006/picture">
                <pic:pic>
                  <pic:nvPicPr>
                    <pic:cNvPr id="0" name="fig_v2_semantic_block_ci.png"/>
                    <pic:cNvPicPr/>
                  </pic:nvPicPr>
                  <pic:blipFill>
                    <a:blip r:embed="rId15"/>
                    <a:stretch>
                      <a:fillRect/>
                    </a:stretch>
                  </pic:blipFill>
                  <pic:spPr>
                    <a:xfrm>
                      <a:off x="0" y="0"/>
                      <a:ext cx="5688000" cy="3750000"/>
                    </a:xfrm>
                    <a:prstGeom prst="rect"/>
                  </pic:spPr>
                </pic:pic>
              </a:graphicData>
            </a:graphic>
          </wp:inline>
        </w:drawing>
      </w:r>
    </w:p>
    <w:p>
      <w:pPr>
        <w:pStyle w:val="Caption"/>
        <w:spacing w:before="60" w:after="100"/>
        <w:jc w:val="center"/>
      </w:pPr>
      <w:r>
        <w:rPr>
          <w:rFonts w:ascii="Times New Roman" w:hAnsi="Times New Roman" w:cs="Times New Roman" w:eastAsia="宋体"/>
        </w:rPr>
        <w:t>图 5 语义候选逐任务移动块Bootstrap区间</w:t>
      </w:r>
    </w:p>
    <w:p>
      <w:pPr>
        <w:spacing w:line="348" w:lineRule="auto" w:after="100"/>
        <w:ind w:firstLine="420"/>
      </w:pPr>
      <w:r>
        <w:rPr>
          <w:rFonts w:ascii="Times New Roman" w:hAnsi="Times New Roman" w:cs="Times New Roman" w:eastAsia="宋体"/>
        </w:rPr>
        <w:t>相对于校准选出的数值回退，语义候选有3项区间完全大于零，分别为 Climate H4、Climate H12 和 Agriculture H12；有4项完全小于零，包括 Economy H3、H6、H12 与 Security H12。由于候选还包含数值残差结构，这里只能称为完整候选路径差异，不能直接归因为文本。Traffic 三项虽有23.35%至37.31%的点估计改善，但区间均跨零，且验证期置换门槛未通过，因此不能声称已证明交通文本有效。</w:t>
      </w:r>
    </w:p>
    <w:p>
      <w:pPr>
        <w:pStyle w:val="Caption"/>
        <w:spacing w:before="60" w:after="100"/>
        <w:jc w:val="center"/>
      </w:pPr>
      <w:r>
        <w:rPr>
          <w:rFonts w:ascii="Times New Roman" w:hAnsi="Times New Roman" w:cs="Times New Roman" w:eastAsia="宋体"/>
        </w:rPr>
        <w:t>表 8 语义候选资格审计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40"/>
        <w:gridCol w:w="1540"/>
        <w:gridCol w:w="1540"/>
        <w:gridCol w:w="1540"/>
        <w:gridCol w:w="1540"/>
        <w:gridCol w:w="1540"/>
      </w:tblGrid>
      <w:tr>
        <w:trPr>
          <w:tblHeader w:val="true"/>
        </w:trPr>
        <w:tc>
          <w:tcPr>
            <w:tcW w:type="dxa" w:w="170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5"/>
              </w:rPr>
              <w:t>领域</w:t>
            </w:r>
          </w:p>
        </w:tc>
        <w:tc>
          <w:tcPr>
            <w:tcW w:type="dxa" w:w="680"/>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5"/>
              </w:rPr>
              <w:t>H</w:t>
            </w:r>
          </w:p>
        </w:tc>
        <w:tc>
          <w:tcPr>
            <w:tcW w:type="dxa" w:w="204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5"/>
              </w:rPr>
              <w:t>数值回退</w:t>
            </w:r>
          </w:p>
        </w:tc>
        <w:tc>
          <w:tcPr>
            <w:tcW w:type="dxa" w:w="124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5"/>
              </w:rPr>
              <w:t>置换p</w:t>
            </w:r>
          </w:p>
        </w:tc>
        <w:tc>
          <w:tcPr>
            <w:tcW w:type="dxa" w:w="170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5"/>
              </w:rPr>
              <w:t>两段均胜</w:t>
            </w:r>
          </w:p>
        </w:tc>
        <w:tc>
          <w:tcPr>
            <w:tcW w:type="dxa" w:w="141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5"/>
              </w:rPr>
              <w:t>最终路径</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Climate</w:t>
            </w:r>
          </w:p>
        </w:tc>
        <w:tc>
          <w:tcPr>
            <w:tcW w:type="dxa" w:w="68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4</w:t>
            </w:r>
          </w:p>
        </w:tc>
        <w:tc>
          <w:tcPr>
            <w:tcW w:type="dxa" w:w="204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PatchTST</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0.26</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Climate</w:t>
            </w:r>
          </w:p>
        </w:tc>
        <w:tc>
          <w:tcPr>
            <w:tcW w:type="dxa" w:w="68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12</w:t>
            </w:r>
          </w:p>
        </w:tc>
        <w:tc>
          <w:tcPr>
            <w:tcW w:type="dxa" w:w="204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PatchTST</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0.05</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Climate</w:t>
            </w:r>
          </w:p>
        </w:tc>
        <w:tc>
          <w:tcPr>
            <w:tcW w:type="dxa" w:w="68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24</w:t>
            </w:r>
          </w:p>
        </w:tc>
        <w:tc>
          <w:tcPr>
            <w:tcW w:type="dxa" w:w="204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DLinear-M</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0.20</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Energy</w:t>
            </w:r>
          </w:p>
        </w:tc>
        <w:tc>
          <w:tcPr>
            <w:tcW w:type="dxa" w:w="68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4</w:t>
            </w:r>
          </w:p>
        </w:tc>
        <w:tc>
          <w:tcPr>
            <w:tcW w:type="dxa" w:w="204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PatchTST</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0.76</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Energy</w:t>
            </w:r>
          </w:p>
        </w:tc>
        <w:tc>
          <w:tcPr>
            <w:tcW w:type="dxa" w:w="68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12</w:t>
            </w:r>
          </w:p>
        </w:tc>
        <w:tc>
          <w:tcPr>
            <w:tcW w:type="dxa" w:w="204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PatchTST</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1.00</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Energy</w:t>
            </w:r>
          </w:p>
        </w:tc>
        <w:tc>
          <w:tcPr>
            <w:tcW w:type="dxa" w:w="68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24</w:t>
            </w:r>
          </w:p>
        </w:tc>
        <w:tc>
          <w:tcPr>
            <w:tcW w:type="dxa" w:w="204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PatchTST</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1.00</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Economy</w:t>
            </w:r>
          </w:p>
        </w:tc>
        <w:tc>
          <w:tcPr>
            <w:tcW w:type="dxa" w:w="68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3</w:t>
            </w:r>
          </w:p>
        </w:tc>
        <w:tc>
          <w:tcPr>
            <w:tcW w:type="dxa" w:w="204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AR-Ridge</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1.00</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Economy</w:t>
            </w:r>
          </w:p>
        </w:tc>
        <w:tc>
          <w:tcPr>
            <w:tcW w:type="dxa" w:w="68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6</w:t>
            </w:r>
          </w:p>
        </w:tc>
        <w:tc>
          <w:tcPr>
            <w:tcW w:type="dxa" w:w="204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AR-Ridge</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0.14</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Economy</w:t>
            </w:r>
          </w:p>
        </w:tc>
        <w:tc>
          <w:tcPr>
            <w:tcW w:type="dxa" w:w="68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12</w:t>
            </w:r>
          </w:p>
        </w:tc>
        <w:tc>
          <w:tcPr>
            <w:tcW w:type="dxa" w:w="204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AR-Ridge</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0.03</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Traffic</w:t>
            </w:r>
          </w:p>
        </w:tc>
        <w:tc>
          <w:tcPr>
            <w:tcW w:type="dxa" w:w="68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3</w:t>
            </w:r>
          </w:p>
        </w:tc>
        <w:tc>
          <w:tcPr>
            <w:tcW w:type="dxa" w:w="2041"/>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5"/>
              </w:rPr>
              <w:t>SeasonalNaive</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0.48</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Traffic</w:t>
            </w:r>
          </w:p>
        </w:tc>
        <w:tc>
          <w:tcPr>
            <w:tcW w:type="dxa" w:w="68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6</w:t>
            </w:r>
          </w:p>
        </w:tc>
        <w:tc>
          <w:tcPr>
            <w:tcW w:type="dxa" w:w="2041"/>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5"/>
              </w:rPr>
              <w:t>SeasonalNaive</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0.34</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Traffic</w:t>
            </w:r>
          </w:p>
        </w:tc>
        <w:tc>
          <w:tcPr>
            <w:tcW w:type="dxa" w:w="68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12</w:t>
            </w:r>
          </w:p>
        </w:tc>
        <w:tc>
          <w:tcPr>
            <w:tcW w:type="dxa" w:w="2041"/>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5"/>
              </w:rPr>
              <w:t>SeasonalNaive</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0.23</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Agriculture</w:t>
            </w:r>
          </w:p>
        </w:tc>
        <w:tc>
          <w:tcPr>
            <w:tcW w:type="dxa" w:w="68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3</w:t>
            </w:r>
          </w:p>
        </w:tc>
        <w:tc>
          <w:tcPr>
            <w:tcW w:type="dxa" w:w="204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Last</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0.55</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是</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Agriculture</w:t>
            </w:r>
          </w:p>
        </w:tc>
        <w:tc>
          <w:tcPr>
            <w:tcW w:type="dxa" w:w="68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6</w:t>
            </w:r>
          </w:p>
        </w:tc>
        <w:tc>
          <w:tcPr>
            <w:tcW w:type="dxa" w:w="204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Last</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0.53</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是</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Agriculture</w:t>
            </w:r>
          </w:p>
        </w:tc>
        <w:tc>
          <w:tcPr>
            <w:tcW w:type="dxa" w:w="68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12</w:t>
            </w:r>
          </w:p>
        </w:tc>
        <w:tc>
          <w:tcPr>
            <w:tcW w:type="dxa" w:w="204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PatchTST</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0.57</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Security</w:t>
            </w:r>
          </w:p>
        </w:tc>
        <w:tc>
          <w:tcPr>
            <w:tcW w:type="dxa" w:w="68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3</w:t>
            </w:r>
          </w:p>
        </w:tc>
        <w:tc>
          <w:tcPr>
            <w:tcW w:type="dxa" w:w="204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PatchTST</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0.68</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Security</w:t>
            </w:r>
          </w:p>
        </w:tc>
        <w:tc>
          <w:tcPr>
            <w:tcW w:type="dxa" w:w="680"/>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6</w:t>
            </w:r>
          </w:p>
        </w:tc>
        <w:tc>
          <w:tcPr>
            <w:tcW w:type="dxa" w:w="204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PatchTST</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0.91</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否</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r>
        <w:trPr>
          <w:cantSplit/>
        </w:trPr>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Security</w:t>
            </w:r>
          </w:p>
        </w:tc>
        <w:tc>
          <w:tcPr>
            <w:tcW w:type="dxa" w:w="680"/>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12</w:t>
            </w:r>
          </w:p>
        </w:tc>
        <w:tc>
          <w:tcPr>
            <w:tcW w:type="dxa" w:w="204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DLinear-M</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0.95</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是</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5"/>
              </w:rPr>
              <w:t>回退</w:t>
            </w:r>
          </w:p>
        </w:tc>
      </w:tr>
    </w:tbl>
    <w:p>
      <w:pPr>
        <w:spacing w:after="40"/>
      </w:pPr>
    </w:p>
    <w:p>
      <w:pPr>
        <w:pStyle w:val="Heading2"/>
        <w:keepNext/>
        <w:spacing w:before="140" w:after="100"/>
      </w:pPr>
      <w:r>
        <w:rPr>
          <w:rFonts w:ascii="Times New Roman" w:hAnsi="Times New Roman" w:cs="Times New Roman" w:eastAsia="黑体"/>
        </w:rPr>
        <w:t>7.4 ETT外部数值验证</w:t>
      </w:r>
    </w:p>
    <w:p>
      <w:pPr>
        <w:pStyle w:val="Caption"/>
        <w:spacing w:before="60" w:after="100"/>
        <w:jc w:val="center"/>
      </w:pPr>
      <w:r>
        <w:rPr>
          <w:rFonts w:ascii="Times New Roman" w:hAnsi="Times New Roman" w:cs="Times New Roman" w:eastAsia="宋体"/>
        </w:rPr>
        <w:t>表 9 ETTh1与ETTh2外部验证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40"/>
        <w:gridCol w:w="1540"/>
        <w:gridCol w:w="1540"/>
        <w:gridCol w:w="1540"/>
        <w:gridCol w:w="1540"/>
        <w:gridCol w:w="1540"/>
      </w:tblGrid>
      <w:tr>
        <w:trPr>
          <w:tblHeader w:val="true"/>
        </w:trPr>
        <w:tc>
          <w:tcPr>
            <w:tcW w:type="dxa" w:w="141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数据</w:t>
            </w:r>
          </w:p>
        </w:tc>
        <w:tc>
          <w:tcPr>
            <w:tcW w:type="dxa" w:w="79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H</w:t>
            </w:r>
          </w:p>
        </w:tc>
        <w:tc>
          <w:tcPr>
            <w:tcW w:type="dxa" w:w="1814"/>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最佳模型</w:t>
            </w:r>
          </w:p>
        </w:tc>
        <w:tc>
          <w:tcPr>
            <w:tcW w:type="dxa" w:w="2608"/>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MSE均值±标准差</w:t>
            </w:r>
          </w:p>
        </w:tc>
        <w:tc>
          <w:tcPr>
            <w:tcW w:type="dxa" w:w="1928"/>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最佳非Patch</w:t>
            </w:r>
          </w:p>
        </w:tc>
        <w:tc>
          <w:tcPr>
            <w:tcW w:type="dxa" w:w="141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改善</w:t>
            </w:r>
          </w:p>
        </w:tc>
      </w:tr>
      <w:tr>
        <w:trPr>
          <w:cantSplit/>
        </w:trPr>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ETTh1</w:t>
            </w:r>
          </w:p>
        </w:tc>
        <w:tc>
          <w:tcPr>
            <w:tcW w:type="dxa" w:w="79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96</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PatchTST-M</w:t>
            </w:r>
          </w:p>
        </w:tc>
        <w:tc>
          <w:tcPr>
            <w:tcW w:type="dxa" w:w="260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0.0555±0.0003</w:t>
            </w:r>
          </w:p>
        </w:tc>
        <w:tc>
          <w:tcPr>
            <w:tcW w:type="dxa" w:w="192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ARRidge</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6.93%</w:t>
            </w:r>
          </w:p>
        </w:tc>
      </w:tr>
      <w:tr>
        <w:trPr>
          <w:cantSplit/>
        </w:trPr>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ETTh1</w:t>
            </w:r>
          </w:p>
        </w:tc>
        <w:tc>
          <w:tcPr>
            <w:tcW w:type="dxa" w:w="79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336</w:t>
            </w:r>
          </w:p>
        </w:tc>
        <w:tc>
          <w:tcPr>
            <w:tcW w:type="dxa" w:w="181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PatchTST-M</w:t>
            </w:r>
          </w:p>
        </w:tc>
        <w:tc>
          <w:tcPr>
            <w:tcW w:type="dxa" w:w="260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0.0851±0.0009</w:t>
            </w:r>
          </w:p>
        </w:tc>
        <w:tc>
          <w:tcPr>
            <w:tcW w:type="dxa" w:w="192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ARRidge</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12.36%</w:t>
            </w:r>
          </w:p>
        </w:tc>
      </w:tr>
      <w:tr>
        <w:trPr>
          <w:cantSplit/>
        </w:trPr>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ETTh1</w:t>
            </w:r>
          </w:p>
        </w:tc>
        <w:tc>
          <w:tcPr>
            <w:tcW w:type="dxa" w:w="79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720</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PatchTST-M</w:t>
            </w:r>
          </w:p>
        </w:tc>
        <w:tc>
          <w:tcPr>
            <w:tcW w:type="dxa" w:w="260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0.0905±0.0014</w:t>
            </w:r>
          </w:p>
        </w:tc>
        <w:tc>
          <w:tcPr>
            <w:tcW w:type="dxa" w:w="192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SeasonalNaive24</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27.73%</w:t>
            </w:r>
          </w:p>
        </w:tc>
      </w:tr>
      <w:tr>
        <w:trPr>
          <w:cantSplit/>
        </w:trPr>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ETTh2</w:t>
            </w:r>
          </w:p>
        </w:tc>
        <w:tc>
          <w:tcPr>
            <w:tcW w:type="dxa" w:w="79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96</w:t>
            </w:r>
          </w:p>
        </w:tc>
        <w:tc>
          <w:tcPr>
            <w:tcW w:type="dxa" w:w="181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PatchTST-M</w:t>
            </w:r>
          </w:p>
        </w:tc>
        <w:tc>
          <w:tcPr>
            <w:tcW w:type="dxa" w:w="260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0.1276±0.0009</w:t>
            </w:r>
          </w:p>
        </w:tc>
        <w:tc>
          <w:tcPr>
            <w:tcW w:type="dxa" w:w="1928"/>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ARRidge</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0.86%</w:t>
            </w:r>
          </w:p>
        </w:tc>
      </w:tr>
      <w:tr>
        <w:trPr>
          <w:cantSplit/>
        </w:trPr>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ETTh2</w:t>
            </w:r>
          </w:p>
        </w:tc>
        <w:tc>
          <w:tcPr>
            <w:tcW w:type="dxa" w:w="79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336</w:t>
            </w:r>
          </w:p>
        </w:tc>
        <w:tc>
          <w:tcPr>
            <w:tcW w:type="dxa" w:w="1814"/>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PatchTST-M</w:t>
            </w:r>
          </w:p>
        </w:tc>
        <w:tc>
          <w:tcPr>
            <w:tcW w:type="dxa" w:w="260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6"/>
              </w:rPr>
              <w:t>0.2151±0.0011</w:t>
            </w:r>
          </w:p>
        </w:tc>
        <w:tc>
          <w:tcPr>
            <w:tcW w:type="dxa" w:w="1928"/>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ARRidge</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7.13%</w:t>
            </w:r>
          </w:p>
        </w:tc>
      </w:tr>
      <w:tr>
        <w:trPr>
          <w:cantSplit/>
        </w:trPr>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ETTh2</w:t>
            </w:r>
          </w:p>
        </w:tc>
        <w:tc>
          <w:tcPr>
            <w:tcW w:type="dxa" w:w="79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720</w:t>
            </w:r>
          </w:p>
        </w:tc>
        <w:tc>
          <w:tcPr>
            <w:tcW w:type="dxa" w:w="1814"/>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PatchTST-M</w:t>
            </w:r>
          </w:p>
        </w:tc>
        <w:tc>
          <w:tcPr>
            <w:tcW w:type="dxa" w:w="260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0.2382±0.0039</w:t>
            </w:r>
          </w:p>
        </w:tc>
        <w:tc>
          <w:tcPr>
            <w:tcW w:type="dxa" w:w="192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6"/>
              </w:rPr>
              <w:t>SeasonalNaive24</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21.12%</w:t>
            </w:r>
          </w:p>
        </w:tc>
      </w:tr>
    </w:tbl>
    <w:p>
      <w:pPr>
        <w:spacing w:after="40"/>
      </w:pP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616000" cy="2809844"/>
            <wp:docPr id="6" name="Picture 6" descr="图 6 ETT外部基准结果"/>
            <wp:cNvGraphicFramePr>
              <a:graphicFrameLocks noChangeAspect="1"/>
            </wp:cNvGraphicFramePr>
            <a:graphic>
              <a:graphicData uri="http://schemas.openxmlformats.org/drawingml/2006/picture">
                <pic:pic>
                  <pic:nvPicPr>
                    <pic:cNvPr id="0" name="fig06_ett_external_results.png"/>
                    <pic:cNvPicPr/>
                  </pic:nvPicPr>
                  <pic:blipFill>
                    <a:blip r:embed="rId16"/>
                    <a:stretch>
                      <a:fillRect/>
                    </a:stretch>
                  </pic:blipFill>
                  <pic:spPr>
                    <a:xfrm>
                      <a:off x="0" y="0"/>
                      <a:ext cx="5616000" cy="2809844"/>
                    </a:xfrm>
                    <a:prstGeom prst="rect"/>
                  </pic:spPr>
                </pic:pic>
              </a:graphicData>
            </a:graphic>
          </wp:inline>
        </w:drawing>
      </w:r>
    </w:p>
    <w:p>
      <w:pPr>
        <w:pStyle w:val="Caption"/>
        <w:spacing w:before="60" w:after="100"/>
        <w:jc w:val="center"/>
      </w:pPr>
      <w:r>
        <w:rPr>
          <w:rFonts w:ascii="Times New Roman" w:hAnsi="Times New Roman" w:cs="Times New Roman" w:eastAsia="宋体"/>
        </w:rPr>
        <w:t>图 6 ETT外部基准结果</w:t>
      </w:r>
    </w:p>
    <w:p>
      <w:pPr>
        <w:spacing w:line="348" w:lineRule="auto" w:after="100"/>
        <w:ind w:firstLine="420"/>
      </w:pPr>
      <w:r>
        <w:rPr>
          <w:rFonts w:ascii="Times New Roman" w:hAnsi="Times New Roman" w:cs="Times New Roman" w:eastAsia="宋体"/>
        </w:rPr>
        <w:t>PatchTST-M 在六项ETT任务全部取得最低MSE，相对最佳非PatchTST基线平均改善12.69%。这是单目标OT协议，不能与使用全通道平均指标的论文表格直接拼接；其作用是验证本项目的数值训练与评估管线。</w:t>
      </w:r>
    </w:p>
    <w:p>
      <w:pPr>
        <w:pStyle w:val="Heading1"/>
        <w:keepNext/>
        <w:spacing w:before="200" w:after="100"/>
      </w:pPr>
      <w:r>
        <w:rPr>
          <w:rFonts w:ascii="Times New Roman" w:hAnsi="Times New Roman" w:cs="Times New Roman" w:eastAsia="黑体"/>
        </w:rPr>
        <w:t>8 稳健性与误差分析</w:t>
      </w:r>
    </w:p>
    <w:p>
      <w:pPr>
        <w:pStyle w:val="Heading2"/>
        <w:keepNext/>
        <w:spacing w:before="140" w:after="100"/>
      </w:pPr>
      <w:r>
        <w:rPr>
          <w:rFonts w:ascii="Times New Roman" w:hAnsi="Times New Roman" w:cs="Times New Roman" w:eastAsia="黑体"/>
        </w:rPr>
        <w:t>8.1 输入扰动</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580000" cy="3171224"/>
            <wp:docPr id="7" name="Picture 7" descr="图 7 数值模型在四类输入扰动下的相对退化"/>
            <wp:cNvGraphicFramePr>
              <a:graphicFrameLocks noChangeAspect="1"/>
            </wp:cNvGraphicFramePr>
            <a:graphic>
              <a:graphicData uri="http://schemas.openxmlformats.org/drawingml/2006/picture">
                <pic:pic>
                  <pic:nvPicPr>
                    <pic:cNvPr id="0" name="fig09_input_robustness.png"/>
                    <pic:cNvPicPr/>
                  </pic:nvPicPr>
                  <pic:blipFill>
                    <a:blip r:embed="rId17"/>
                    <a:stretch>
                      <a:fillRect/>
                    </a:stretch>
                  </pic:blipFill>
                  <pic:spPr>
                    <a:xfrm>
                      <a:off x="0" y="0"/>
                      <a:ext cx="5580000" cy="3171224"/>
                    </a:xfrm>
                    <a:prstGeom prst="rect"/>
                  </pic:spPr>
                </pic:pic>
              </a:graphicData>
            </a:graphic>
          </wp:inline>
        </w:drawing>
      </w:r>
    </w:p>
    <w:p>
      <w:pPr>
        <w:pStyle w:val="Caption"/>
        <w:spacing w:before="60" w:after="100"/>
        <w:jc w:val="center"/>
      </w:pPr>
      <w:r>
        <w:rPr>
          <w:rFonts w:ascii="Times New Roman" w:hAnsi="Times New Roman" w:cs="Times New Roman" w:eastAsia="宋体"/>
        </w:rPr>
        <w:t>图 7 数值模型在四类输入扰动下的相对退化</w:t>
      </w:r>
    </w:p>
    <w:p>
      <w:pPr>
        <w:spacing w:line="348" w:lineRule="auto" w:after="100"/>
        <w:ind w:firstLine="420"/>
      </w:pPr>
      <w:r>
        <w:rPr>
          <w:rFonts w:ascii="Times New Roman" w:hAnsi="Times New Roman" w:cs="Times New Roman" w:eastAsia="宋体"/>
        </w:rPr>
        <w:t>PatchTST 对0.10标准差高斯噪声和10%随机缺失的平均MSE退化为3.31%和1.68%，但对2%尖峰和末段12步连续缺失分别退化84.38%和24.59%。系统应用时应增加尖峰检测，并在窗口尾部连续缺失时降低深度预测置信度。</w:t>
      </w:r>
    </w:p>
    <w:p>
      <w:pPr>
        <w:pStyle w:val="Heading2"/>
        <w:keepNext/>
        <w:spacing w:before="140" w:after="100"/>
      </w:pPr>
      <w:r>
        <w:rPr>
          <w:rFonts w:ascii="Times New Roman" w:hAnsi="Times New Roman" w:cs="Times New Roman" w:eastAsia="黑体"/>
        </w:rPr>
        <w:t>8.2 分布漂移与失败案例</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544000" cy="2781986"/>
            <wp:docPr id="8" name="Picture 8" descr="图 8 Security目标在时间切分后的分布漂移"/>
            <wp:cNvGraphicFramePr>
              <a:graphicFrameLocks noChangeAspect="1"/>
            </wp:cNvGraphicFramePr>
            <a:graphic>
              <a:graphicData uri="http://schemas.openxmlformats.org/drawingml/2006/picture">
                <pic:pic>
                  <pic:nvPicPr>
                    <pic:cNvPr id="0" name="fig08_security_distribution_shift.png"/>
                    <pic:cNvPicPr/>
                  </pic:nvPicPr>
                  <pic:blipFill>
                    <a:blip r:embed="rId18"/>
                    <a:stretch>
                      <a:fillRect/>
                    </a:stretch>
                  </pic:blipFill>
                  <pic:spPr>
                    <a:xfrm>
                      <a:off x="0" y="0"/>
                      <a:ext cx="5544000" cy="2781986"/>
                    </a:xfrm>
                    <a:prstGeom prst="rect"/>
                  </pic:spPr>
                </pic:pic>
              </a:graphicData>
            </a:graphic>
          </wp:inline>
        </w:drawing>
      </w:r>
    </w:p>
    <w:p>
      <w:pPr>
        <w:pStyle w:val="Caption"/>
        <w:spacing w:before="60" w:after="100"/>
        <w:jc w:val="center"/>
      </w:pPr>
      <w:r>
        <w:rPr>
          <w:rFonts w:ascii="Times New Roman" w:hAnsi="Times New Roman" w:cs="Times New Roman" w:eastAsia="宋体"/>
        </w:rPr>
        <w:t>图 8 Security目标在时间切分后的分布漂移</w:t>
      </w:r>
    </w:p>
    <w:p>
      <w:pPr>
        <w:spacing w:line="348" w:lineRule="auto" w:after="100"/>
        <w:ind w:firstLine="420"/>
      </w:pPr>
      <w:r>
        <w:rPr>
          <w:rFonts w:ascii="Times New Roman" w:hAnsi="Times New Roman" w:cs="Times New Roman" w:eastAsia="宋体"/>
        </w:rPr>
        <w:t>Security 测试段相对训练段发生明显尺度漂移，标准化测试误差远高于其他领域；文本候选不能稳定修正这种漂移。该现象说明冻结语义编码与线性残差并不具备因果适配能力，报告不能把相关文本当作导致目标变化的证据。</w:t>
      </w:r>
    </w:p>
    <w:p>
      <w:pPr>
        <w:pStyle w:val="Heading2"/>
        <w:keepNext/>
        <w:spacing w:before="140" w:after="100"/>
      </w:pPr>
      <w:r>
        <w:rPr>
          <w:rFonts w:ascii="Times New Roman" w:hAnsi="Times New Roman" w:cs="Times New Roman" w:eastAsia="黑体"/>
        </w:rPr>
        <w:t>8.3 文本增量归因与置换敏感性</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832000" cy="3499200"/>
            <wp:docPr id="9" name="Picture 9" descr="图 9 文本候选相对匹配容量纯数值残差对照的测试期差异"/>
            <wp:cNvGraphicFramePr>
              <a:graphicFrameLocks noChangeAspect="1"/>
            </wp:cNvGraphicFramePr>
            <a:graphic>
              <a:graphicData uri="http://schemas.openxmlformats.org/drawingml/2006/picture">
                <pic:pic>
                  <pic:nvPicPr>
                    <pic:cNvPr id="0" name="fig_v3_matched_control_ci.png"/>
                    <pic:cNvPicPr/>
                  </pic:nvPicPr>
                  <pic:blipFill>
                    <a:blip r:embed="rId19"/>
                    <a:stretch>
                      <a:fillRect/>
                    </a:stretch>
                  </pic:blipFill>
                  <pic:spPr>
                    <a:xfrm>
                      <a:off x="0" y="0"/>
                      <a:ext cx="5832000" cy="3499200"/>
                    </a:xfrm>
                    <a:prstGeom prst="rect"/>
                  </pic:spPr>
                </pic:pic>
              </a:graphicData>
            </a:graphic>
          </wp:inline>
        </w:drawing>
      </w:r>
    </w:p>
    <w:p>
      <w:pPr>
        <w:pStyle w:val="Caption"/>
        <w:spacing w:before="60" w:after="100"/>
        <w:jc w:val="center"/>
      </w:pPr>
      <w:r>
        <w:rPr>
          <w:rFonts w:ascii="Times New Roman" w:hAnsi="Times New Roman" w:cs="Times New Roman" w:eastAsia="宋体"/>
        </w:rPr>
        <w:t>图 9 文本候选相对匹配容量纯数值残差对照的测试期差异</w:t>
      </w:r>
    </w:p>
    <w:p>
      <w:pPr>
        <w:spacing w:line="348" w:lineRule="auto" w:after="100"/>
        <w:ind w:firstLine="420"/>
      </w:pPr>
      <w:r>
        <w:rPr>
          <w:rFonts w:ascii="Times New Roman" w:hAnsi="Times New Roman" w:cs="Times New Roman" w:eastAsia="宋体"/>
        </w:rPr>
        <w:t>匹配容量对照保持与候选相近的数值残差结构，但移除文本向量、质量特征和频率语义交互。36条候选中，仅Climate H4和H12的语义候选区间完全大于零，共2条；9条区间完全小于零，其余跨零。Agriculture H12相对数值回退的较大改善在匹配对照下几乎消失，说明此前差异主要来自残差结构而非可识别的文本增量。</w:t>
      </w:r>
    </w:p>
    <w:p>
      <w:pPr>
        <w:keepNext/>
        <w:jc w:val="center"/>
      </w:pPr>
      <w:r>
        <w:rPr>
          <w:rFonts w:ascii="Times New Roman" w:hAnsi="Times New Roman" w:cs="Times New Roman" w:eastAsia="宋体"/>
        </w:rPr>
        <w:drawing>
          <wp:inline xmlns:a="http://schemas.openxmlformats.org/drawingml/2006/main" xmlns:pic="http://schemas.openxmlformats.org/drawingml/2006/picture">
            <wp:extent cx="5760000" cy="3328000"/>
            <wp:docPr id="10" name="Picture 10" descr="图 10 保留时间结构的999次循环移位置换敏感性"/>
            <wp:cNvGraphicFramePr>
              <a:graphicFrameLocks noChangeAspect="1"/>
            </wp:cNvGraphicFramePr>
            <a:graphic>
              <a:graphicData uri="http://schemas.openxmlformats.org/drawingml/2006/picture">
                <pic:pic>
                  <pic:nvPicPr>
                    <pic:cNvPr id="0" name="fig_v3_circular_shift_gate.png"/>
                    <pic:cNvPicPr/>
                  </pic:nvPicPr>
                  <pic:blipFill>
                    <a:blip r:embed="rId20"/>
                    <a:stretch>
                      <a:fillRect/>
                    </a:stretch>
                  </pic:blipFill>
                  <pic:spPr>
                    <a:xfrm>
                      <a:off x="0" y="0"/>
                      <a:ext cx="5760000" cy="3328000"/>
                    </a:xfrm>
                    <a:prstGeom prst="rect"/>
                  </pic:spPr>
                </pic:pic>
              </a:graphicData>
            </a:graphic>
          </wp:inline>
        </w:drawing>
      </w:r>
    </w:p>
    <w:p>
      <w:pPr>
        <w:pStyle w:val="Caption"/>
        <w:spacing w:before="60" w:after="100"/>
        <w:jc w:val="center"/>
      </w:pPr>
      <w:r>
        <w:rPr>
          <w:rFonts w:ascii="Times New Roman" w:hAnsi="Times New Roman" w:cs="Times New Roman" w:eastAsia="宋体"/>
        </w:rPr>
        <w:t>图 10 保留时间结构的999次循环移位置换敏感性</w:t>
      </w:r>
    </w:p>
    <w:p>
      <w:pPr>
        <w:spacing w:line="348" w:lineRule="auto" w:after="100"/>
        <w:ind w:firstLine="420"/>
      </w:pPr>
      <w:r>
        <w:rPr>
          <w:rFonts w:ascii="Times New Roman" w:hAnsi="Times New Roman" w:cs="Times New Roman" w:eastAsia="宋体"/>
        </w:rPr>
        <w:t>999次循环移位将原校准得到的Ridge正则系数固定，只改变文本与数值起点的相对位置。没有候选达到p≤0.025，与冻结协议的零放行结论一致。Climate H4频率、Climate H24语义和Traffic H3频率的p值为0.035至0.042，低于0.05但高于预设门槛，只能视为后续数据上的待验证线索。</w:t>
      </w:r>
    </w:p>
    <w:p>
      <w:pPr>
        <w:pStyle w:val="Heading2"/>
        <w:keepNext/>
        <w:spacing w:before="140" w:after="100"/>
      </w:pPr>
      <w:r>
        <w:rPr>
          <w:rFonts w:ascii="Times New Roman" w:hAnsi="Times New Roman" w:cs="Times New Roman" w:eastAsia="黑体"/>
        </w:rPr>
        <w:t>8.4 消融与边界</w:t>
      </w:r>
    </w:p>
    <w:p>
      <w:pPr>
        <w:spacing w:line="348" w:lineRule="auto" w:after="100"/>
        <w:ind w:firstLine="420"/>
      </w:pPr>
      <w:r>
        <w:rPr>
          <w:rFonts w:ascii="Times New Roman" w:hAnsi="Times New Roman" w:cs="Times New Roman" w:eastAsia="宋体"/>
        </w:rPr>
        <w:t>频率候选只有8/18项获得相对数值回退的正点估计，少于语义候选的13/18项，并在多个任务扩大损失。相对于匹配容量对照，频率候选也没有形成稳定优势。频率交互因此保留为被检验但未启用的候选，不写成有效创新。当前验证段较短，严格门槛降低了假阳性，也可能提高假阴性；未来可在更多独立领域上预注册同一规则，而不是在当前测试集放宽阈值。</w:t>
      </w:r>
    </w:p>
    <w:p>
      <w:pPr>
        <w:pStyle w:val="Heading1"/>
        <w:keepNext/>
        <w:spacing w:before="200" w:after="100"/>
      </w:pPr>
      <w:r>
        <w:rPr>
          <w:rFonts w:ascii="Times New Roman" w:hAnsi="Times New Roman" w:cs="Times New Roman" w:eastAsia="黑体"/>
        </w:rPr>
        <w:t>9 系统实现与可复现性</w:t>
      </w:r>
    </w:p>
    <w:p>
      <w:pPr>
        <w:pStyle w:val="Heading2"/>
        <w:keepNext/>
        <w:spacing w:before="140" w:after="100"/>
      </w:pPr>
      <w:r>
        <w:rPr>
          <w:rFonts w:ascii="Times New Roman" w:hAnsi="Times New Roman" w:cs="Times New Roman" w:eastAsia="黑体"/>
        </w:rPr>
        <w:t>9.1 软件结构</w:t>
      </w:r>
    </w:p>
    <w:p>
      <w:pPr>
        <w:pStyle w:val="Caption"/>
        <w:spacing w:before="60" w:after="100"/>
        <w:jc w:val="center"/>
      </w:pPr>
      <w:r>
        <w:rPr>
          <w:rFonts w:ascii="Times New Roman" w:hAnsi="Times New Roman" w:cs="Times New Roman" w:eastAsia="宋体"/>
        </w:rPr>
        <w:t>表 10 项目目录与职责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20"/>
        <w:gridCol w:w="4620"/>
      </w:tblGrid>
      <w:tr>
        <w:trPr>
          <w:tblHeader w:val="true"/>
        </w:trPr>
        <w:tc>
          <w:tcPr>
            <w:tcW w:type="dxa" w:w="255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7"/>
              </w:rPr>
              <w:t>目录</w:t>
            </w:r>
          </w:p>
        </w:tc>
        <w:tc>
          <w:tcPr>
            <w:tcW w:type="dxa" w:w="708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7"/>
              </w:rPr>
              <w:t>内容</w:t>
            </w:r>
          </w:p>
        </w:tc>
      </w:tr>
      <w:tr>
        <w:trPr>
          <w:cantSplit/>
        </w:trPr>
        <w:tc>
          <w:tcPr>
            <w:tcW w:type="dxa" w:w="2551"/>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7"/>
              </w:rPr>
              <w:t>references/external</w:t>
            </w:r>
          </w:p>
        </w:tc>
        <w:tc>
          <w:tcPr>
            <w:tcW w:type="dxa" w:w="7087"/>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7"/>
              </w:rPr>
              <w:t>固定提交的 Time-MMD ETT 与参考实现</w:t>
            </w:r>
          </w:p>
        </w:tc>
      </w:tr>
      <w:tr>
        <w:trPr>
          <w:cantSplit/>
        </w:trPr>
        <w:tc>
          <w:tcPr>
            <w:tcW w:type="dxa" w:w="2551"/>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7"/>
              </w:rPr>
              <w:t>data_processed</w:t>
            </w:r>
          </w:p>
        </w:tc>
        <w:tc>
          <w:tcPr>
            <w:tcW w:type="dxa" w:w="7087"/>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7"/>
              </w:rPr>
              <w:t>时点文本索引 句向量与语义缓存</w:t>
            </w:r>
          </w:p>
        </w:tc>
      </w:tr>
      <w:tr>
        <w:trPr>
          <w:cantSplit/>
        </w:trPr>
        <w:tc>
          <w:tcPr>
            <w:tcW w:type="dxa" w:w="255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7"/>
              </w:rPr>
              <w:t>src</w:t>
            </w:r>
          </w:p>
        </w:tc>
        <w:tc>
          <w:tcPr>
            <w:tcW w:type="dxa" w:w="7087"/>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7"/>
              </w:rPr>
              <w:t>审计 基线 深度模型 文本候选 选择 汇总与检查</w:t>
            </w:r>
          </w:p>
        </w:tc>
      </w:tr>
      <w:tr>
        <w:trPr>
          <w:cantSplit/>
        </w:trPr>
        <w:tc>
          <w:tcPr>
            <w:tcW w:type="dxa" w:w="255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7"/>
              </w:rPr>
              <w:t>outputs</w:t>
            </w:r>
          </w:p>
        </w:tc>
        <w:tc>
          <w:tcPr>
            <w:tcW w:type="dxa" w:w="7087"/>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7"/>
              </w:rPr>
              <w:t>逐起点预测 指标 协议 表格 图形 日志 模型</w:t>
            </w:r>
          </w:p>
        </w:tc>
      </w:tr>
      <w:tr>
        <w:trPr>
          <w:cantSplit/>
        </w:trPr>
        <w:tc>
          <w:tcPr>
            <w:tcW w:type="dxa" w:w="255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7"/>
              </w:rPr>
              <w:t>paper</w:t>
            </w:r>
          </w:p>
        </w:tc>
        <w:tc>
          <w:tcPr>
            <w:tcW w:type="dxa" w:w="7087"/>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7"/>
              </w:rPr>
              <w:t>第4周 第10周 最终报告与渲染检查</w:t>
            </w:r>
          </w:p>
        </w:tc>
      </w:tr>
      <w:tr>
        <w:trPr>
          <w:cantSplit/>
        </w:trPr>
        <w:tc>
          <w:tcPr>
            <w:tcW w:type="dxa" w:w="255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7"/>
              </w:rPr>
              <w:t>prototype</w:t>
            </w:r>
          </w:p>
        </w:tc>
        <w:tc>
          <w:tcPr>
            <w:tcW w:type="dxa" w:w="70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7"/>
              </w:rPr>
              <w:t>交互式任务结果浏览器</w:t>
            </w:r>
          </w:p>
        </w:tc>
      </w:tr>
      <w:tr>
        <w:trPr>
          <w:cantSplit/>
        </w:trPr>
        <w:tc>
          <w:tcPr>
            <w:tcW w:type="dxa" w:w="255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7"/>
              </w:rPr>
              <w:t>docs</w:t>
            </w:r>
          </w:p>
        </w:tc>
        <w:tc>
          <w:tcPr>
            <w:tcW w:type="dxa" w:w="7087"/>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7"/>
              </w:rPr>
              <w:t>数据审计 协议冻结 文献核验 最终检查</w:t>
            </w:r>
          </w:p>
        </w:tc>
      </w:tr>
    </w:tbl>
    <w:p>
      <w:pPr>
        <w:spacing w:after="40"/>
      </w:pPr>
    </w:p>
    <w:p>
      <w:pPr>
        <w:pStyle w:val="Heading2"/>
        <w:keepNext/>
        <w:spacing w:before="140" w:after="100"/>
      </w:pPr>
      <w:r>
        <w:rPr>
          <w:rFonts w:ascii="Times New Roman" w:hAnsi="Times New Roman" w:cs="Times New Roman" w:eastAsia="黑体"/>
        </w:rPr>
        <w:t>9.2 复现链</w:t>
      </w:r>
    </w:p>
    <w:p>
      <w:pPr>
        <w:spacing w:line="348" w:lineRule="auto" w:after="100"/>
        <w:ind w:firstLine="420"/>
      </w:pPr>
      <w:r>
        <w:rPr>
          <w:rFonts w:ascii="Times New Roman" w:hAnsi="Times New Roman" w:cs="Times New Roman" w:eastAsia="宋体"/>
        </w:rPr>
        <w:t>复现顺序为：数据审计与排序检查、时点语料构建、文本编码与语义缓存、数值专家和文本候选训练、冻结选择、匹配容量对照与循环移位敏感性、结果汇总与制图、报告与原型生成。每一步输出到新目录，不覆盖原始数据。protocol.json记录冻结主实验的划分、种子、模型、置换次数、阈值和Bootstrap设置；reviewer_sensitivity_summary.json单独记录审查后敏感性分析，避免与预注册式主结果混写。</w:t>
      </w:r>
    </w:p>
    <w:p>
      <w:pPr>
        <w:pStyle w:val="Heading2"/>
        <w:keepNext/>
        <w:spacing w:before="140" w:after="100"/>
      </w:pPr>
      <w:r>
        <w:rPr>
          <w:rFonts w:ascii="Times New Roman" w:hAnsi="Times New Roman" w:cs="Times New Roman" w:eastAsia="黑体"/>
        </w:rPr>
        <w:t>9.3 计算环境</w:t>
      </w:r>
    </w:p>
    <w:p>
      <w:pPr>
        <w:spacing w:line="348" w:lineRule="auto" w:after="100"/>
        <w:ind w:firstLine="420"/>
      </w:pPr>
      <w:r>
        <w:rPr>
          <w:rFonts w:ascii="Times New Roman" w:hAnsi="Times New Roman" w:cs="Times New Roman" w:eastAsia="宋体"/>
        </w:rPr>
        <w:t>实验在 Windows 环境完成，使用 Python、PyTorch、pandas、scikit-learn、sentence-transformers 与 matplotlib；深度训练使用 NVIDIA RTX 5070 Laptop GPU。依赖版本记录在 requirements.txt，README 给出统一命令。源数据不因体积与许可直接嵌入文档，支撑材料记录来源URL与固定提交。</w:t>
      </w:r>
    </w:p>
    <w:p>
      <w:pPr>
        <w:pStyle w:val="Heading1"/>
        <w:keepNext/>
        <w:spacing w:before="200" w:after="100"/>
      </w:pPr>
      <w:r>
        <w:rPr>
          <w:rFonts w:ascii="Times New Roman" w:hAnsi="Times New Roman" w:cs="Times New Roman" w:eastAsia="黑体"/>
        </w:rPr>
        <w:t>10 模型评价与结论</w:t>
      </w:r>
    </w:p>
    <w:p>
      <w:pPr>
        <w:pStyle w:val="Heading2"/>
        <w:keepNext/>
        <w:spacing w:before="140" w:after="100"/>
      </w:pPr>
      <w:r>
        <w:rPr>
          <w:rFonts w:ascii="Times New Roman" w:hAnsi="Times New Roman" w:cs="Times New Roman" w:eastAsia="黑体"/>
        </w:rPr>
        <w:t>10.1 主要结论</w:t>
      </w:r>
    </w:p>
    <w:p>
      <w:pPr>
        <w:pStyle w:val="ListBullet"/>
        <w:spacing w:line="324" w:lineRule="auto" w:after="60"/>
        <w:ind w:left="425"/>
      </w:pPr>
      <w:r>
        <w:rPr>
          <w:rFonts w:ascii="Times New Roman" w:hAnsi="Times New Roman" w:cs="Times New Roman" w:eastAsia="宋体"/>
        </w:rPr>
        <w:t>在当前六领域18项任务和冻结门槛下，没有文本路径获得部署资格，系统全部回退至验证期选定的数值专家。</w:t>
      </w:r>
    </w:p>
    <w:p>
      <w:pPr>
        <w:pStyle w:val="ListBullet"/>
        <w:spacing w:line="324" w:lineRule="auto" w:after="60"/>
        <w:ind w:left="425"/>
      </w:pPr>
      <w:r>
        <w:rPr>
          <w:rFonts w:ascii="Times New Roman" w:hAnsi="Times New Roman" w:cs="Times New Roman" w:eastAsia="宋体"/>
        </w:rPr>
        <w:t>相对于匹配容量纯数值残差对照，只有Climate H4和H12的语义候选区间完全支持改善，同时9条候选区间支持变差，不能概括为文本普遍有效。</w:t>
      </w:r>
    </w:p>
    <w:p>
      <w:pPr>
        <w:pStyle w:val="ListBullet"/>
        <w:spacing w:line="324" w:lineRule="auto" w:after="60"/>
        <w:ind w:left="425"/>
      </w:pPr>
      <w:r>
        <w:rPr>
          <w:rFonts w:ascii="Times New Roman" w:hAnsi="Times New Roman" w:cs="Times New Roman" w:eastAsia="宋体"/>
        </w:rPr>
        <w:t>999次循环移位置换仍无候选达到p≤0.025，说明零放行结论不依赖逐行随机置换这一种反事实构造。</w:t>
      </w:r>
    </w:p>
    <w:p>
      <w:pPr>
        <w:pStyle w:val="ListBullet"/>
        <w:spacing w:line="324" w:lineRule="auto" w:after="60"/>
        <w:ind w:left="425"/>
      </w:pPr>
      <w:r>
        <w:rPr>
          <w:rFonts w:ascii="Times New Roman" w:hAnsi="Times New Roman" w:cs="Times New Roman" w:eastAsia="宋体"/>
        </w:rPr>
        <w:t>频率语义交互没有形成跨领域稳定增益，作为否定消融结果保留。</w:t>
      </w:r>
    </w:p>
    <w:p>
      <w:pPr>
        <w:pStyle w:val="ListBullet"/>
        <w:spacing w:line="324" w:lineRule="auto" w:after="60"/>
        <w:ind w:left="425"/>
      </w:pPr>
      <w:r>
        <w:rPr>
          <w:rFonts w:ascii="Times New Roman" w:hAnsi="Times New Roman" w:cs="Times New Roman" w:eastAsia="宋体"/>
        </w:rPr>
        <w:t>数值专家的优胜者随领域变化；PatchTST在ETT六项任务上表现最好，但在Time-MMD并非所有任务最优。</w:t>
      </w:r>
    </w:p>
    <w:p>
      <w:pPr>
        <w:pStyle w:val="ListBullet"/>
        <w:spacing w:line="324" w:lineRule="auto" w:after="60"/>
        <w:ind w:left="425"/>
      </w:pPr>
      <w:r>
        <w:rPr>
          <w:rFonts w:ascii="Times New Roman" w:hAnsi="Times New Roman" w:cs="Times New Roman" w:eastAsia="宋体"/>
        </w:rPr>
        <w:t>路径决策段在32/36条候选上不足3个完整非重叠块，因此零放行同时反映严格门槛与低统计功效，不能写成文本普遍无效。</w:t>
      </w:r>
    </w:p>
    <w:p>
      <w:pPr>
        <w:pStyle w:val="Heading2"/>
        <w:keepNext/>
        <w:spacing w:before="140" w:after="100"/>
      </w:pPr>
      <w:r>
        <w:rPr>
          <w:rFonts w:ascii="Times New Roman" w:hAnsi="Times New Roman" w:cs="Times New Roman" w:eastAsia="黑体"/>
        </w:rPr>
        <w:t>10.2 优点</w:t>
      </w:r>
    </w:p>
    <w:p>
      <w:pPr>
        <w:spacing w:line="348" w:lineRule="auto" w:after="100"/>
        <w:ind w:firstLine="420"/>
      </w:pPr>
      <w:r>
        <w:rPr>
          <w:rFonts w:ascii="Times New Roman" w:hAnsi="Times New Roman" w:cs="Times New Roman" w:eastAsia="宋体"/>
        </w:rPr>
        <w:t>模型直接回答何时启用文本，数据处理链可审计，公式与代码一致，包含简单基线、匹配容量对照、两类错位置换、消融、跨领域确认、外部数据、三随机种子和输入扰动。选择器允许否定结论，使系统价值不依赖于事后挑选成功任务。</w:t>
      </w:r>
    </w:p>
    <w:p>
      <w:pPr>
        <w:pStyle w:val="Heading2"/>
        <w:keepNext/>
        <w:spacing w:before="140" w:after="100"/>
      </w:pPr>
      <w:r>
        <w:rPr>
          <w:rFonts w:ascii="Times New Roman" w:hAnsi="Times New Roman" w:cs="Times New Roman" w:eastAsia="黑体"/>
        </w:rPr>
        <w:t>10.3 局限</w:t>
      </w:r>
    </w:p>
    <w:p>
      <w:pPr>
        <w:spacing w:line="348" w:lineRule="auto" w:after="100"/>
        <w:ind w:firstLine="420"/>
      </w:pPr>
      <w:r>
        <w:rPr>
          <w:rFonts w:ascii="Times New Roman" w:hAnsi="Times New Roman" w:cs="Times New Roman" w:eastAsia="宋体"/>
        </w:rPr>
        <w:t>第一，Time-MMD 的 end_date 不能证明真实发布时间，时点安全仍依赖代理假设；第二，验证期约5%的两段样本在少样本领域统计功效很低，32/36条候选不足3个完整非重叠块；第三，冻结MiniLM和线性残差只检验轻量语义增量，不能代表所有多模态结构；第四，主协议的99次逐行置换分辨率较粗且不保留时间依赖，虽然999次循环移位得到一致的零放行结论，仍需更多独立时间段复核；第五，任务目标和采样频率不同，跨领域平均改善只适合计数或相对指标；第六，当前结论为预测相关性，不构成因果解释。</w:t>
      </w:r>
    </w:p>
    <w:p>
      <w:pPr>
        <w:pStyle w:val="Heading2"/>
        <w:keepNext/>
        <w:spacing w:before="140" w:after="100"/>
      </w:pPr>
      <w:r>
        <w:rPr>
          <w:rFonts w:ascii="Times New Roman" w:hAnsi="Times New Roman" w:cs="Times New Roman" w:eastAsia="黑体"/>
        </w:rPr>
        <w:t>10.4 改进方向</w:t>
      </w:r>
    </w:p>
    <w:p>
      <w:pPr>
        <w:spacing w:line="348" w:lineRule="auto" w:after="100"/>
        <w:ind w:firstLine="420"/>
      </w:pPr>
      <w:r>
        <w:rPr>
          <w:rFonts w:ascii="Times New Roman" w:hAnsi="Times New Roman" w:cs="Times New Roman" w:eastAsia="宋体"/>
        </w:rPr>
        <w:t>下一步应优先获得可核验发布时间或引入7天、30天、60天发布滞后敏感性；在新增领域上预注册并复用同一资格规则；用滚动起点评估增加独立决策区间，并预先报告最小可检测效应；将预测精度与错误启用风险组成Pareto选择，而不是在当前测试集放宽阈值；针对尖峰和连续缺失增加异常检测与缺失掩码。只有在新增数据上通过门槛，才考虑使用更大语言模型或端到端跨模态网络。</w:t>
      </w:r>
    </w:p>
    <w:p>
      <w:pPr>
        <w:pStyle w:val="Heading1"/>
        <w:keepNext/>
        <w:spacing w:before="200" w:after="100"/>
      </w:pPr>
      <w:r>
        <w:rPr>
          <w:rFonts w:ascii="Times New Roman" w:hAnsi="Times New Roman" w:cs="Times New Roman" w:eastAsia="黑体"/>
        </w:rPr>
        <w:t>参考文献</w:t>
      </w:r>
    </w:p>
    <w:p>
      <w:pPr>
        <w:spacing w:line="288" w:lineRule="auto" w:after="80"/>
      </w:pPr>
      <w:r>
        <w:rPr>
          <w:rFonts w:ascii="Times New Roman" w:hAnsi="Times New Roman" w:cs="Times New Roman" w:eastAsia="宋体"/>
        </w:rPr>
        <w:t>[1] Liu H, Xu S, Zhao Z, et al. Time-MMD: Multi-Domain Multimodal Dataset for Time Series Analysis. Advances in Neural Information Processing Systems, Datasets and Benchmarks Track, 2024. DOI: 10.52202/079017-2476.</w:t>
      </w:r>
    </w:p>
    <w:p>
      <w:pPr>
        <w:spacing w:line="288" w:lineRule="auto" w:after="80"/>
      </w:pPr>
      <w:r>
        <w:rPr>
          <w:rFonts w:ascii="Times New Roman" w:hAnsi="Times New Roman" w:cs="Times New Roman" w:eastAsia="宋体"/>
        </w:rPr>
        <w:t>[2] Nie Y, Nguyen N H, Sinthong P, Kalagnanam J. A Time Series is Worth 64 Words: Long-term Forecasting with Transformers. International Conference on Learning Representations, 2023.</w:t>
      </w:r>
    </w:p>
    <w:p>
      <w:pPr>
        <w:spacing w:line="288" w:lineRule="auto" w:after="80"/>
      </w:pPr>
      <w:r>
        <w:rPr>
          <w:rFonts w:ascii="Times New Roman" w:hAnsi="Times New Roman" w:cs="Times New Roman" w:eastAsia="宋体"/>
        </w:rPr>
        <w:t>[3] Zeng A, Chen M, Zhang L, Xu Q. Are Transformers Effective for Time Series Forecasting? Proceedings of the AAAI Conference on Artificial Intelligence, 2023, 37(9):11121-11128. DOI: 10.1609/aaai.v37i9.26317.</w:t>
      </w:r>
    </w:p>
    <w:p>
      <w:pPr>
        <w:spacing w:line="288" w:lineRule="auto" w:after="80"/>
      </w:pPr>
      <w:r>
        <w:rPr>
          <w:rFonts w:ascii="Times New Roman" w:hAnsi="Times New Roman" w:cs="Times New Roman" w:eastAsia="宋体"/>
        </w:rPr>
        <w:t>[4] Wu H, Hu T, Liu Y, et al. TimesNet: Temporal 2D-Variation Modeling for General Time Series Analysis. International Conference on Learning Representations, 2023.</w:t>
      </w:r>
    </w:p>
    <w:p>
      <w:pPr>
        <w:spacing w:line="288" w:lineRule="auto" w:after="80"/>
      </w:pPr>
      <w:r>
        <w:rPr>
          <w:rFonts w:ascii="Times New Roman" w:hAnsi="Times New Roman" w:cs="Times New Roman" w:eastAsia="宋体"/>
        </w:rPr>
        <w:t>[5] Zhang Y, Yan J. Crossformer: Transformer Utilizing Cross-Dimension Dependency for Multivariate Time Series Forecasting. International Conference on Learning Representations, 2023.</w:t>
      </w:r>
    </w:p>
    <w:p>
      <w:pPr>
        <w:spacing w:line="288" w:lineRule="auto" w:after="80"/>
      </w:pPr>
      <w:r>
        <w:rPr>
          <w:rFonts w:ascii="Times New Roman" w:hAnsi="Times New Roman" w:cs="Times New Roman" w:eastAsia="宋体"/>
        </w:rPr>
        <w:t>[6] Zhou T, Ma Z, Wen Q, et al. FEDformer: Frequency Enhanced Decomposed Transformer for Long-term Series Forecasting. Proceedings of the 39th International Conference on Machine Learning, PMLR 162:27268-27286, 2022.</w:t>
      </w:r>
    </w:p>
    <w:p>
      <w:pPr>
        <w:spacing w:line="288" w:lineRule="auto" w:after="80"/>
      </w:pPr>
      <w:r>
        <w:rPr>
          <w:rFonts w:ascii="Times New Roman" w:hAnsi="Times New Roman" w:cs="Times New Roman" w:eastAsia="宋体"/>
        </w:rPr>
        <w:t>[7] Liu Y, Hu T, Zhang H, et al. iTransformer: Inverted Transformers Are Effective for Time Series Forecasting. International Conference on Learning Representations, 2024.</w:t>
      </w:r>
    </w:p>
    <w:p>
      <w:pPr>
        <w:spacing w:line="288" w:lineRule="auto" w:after="80"/>
      </w:pPr>
      <w:r>
        <w:rPr>
          <w:rFonts w:ascii="Times New Roman" w:hAnsi="Times New Roman" w:cs="Times New Roman" w:eastAsia="宋体"/>
        </w:rPr>
        <w:t>[8] Wang Y, Wu H, Dong J, et al. TimeXer: Empowering Transformers for Time Series Forecasting with Exogenous Variables. Advances in Neural Information Processing Systems, 2024. DOI: 10.52202/079017-0015.</w:t>
      </w:r>
    </w:p>
    <w:p>
      <w:pPr>
        <w:spacing w:line="288" w:lineRule="auto" w:after="80"/>
      </w:pPr>
      <w:r>
        <w:rPr>
          <w:rFonts w:ascii="Times New Roman" w:hAnsi="Times New Roman" w:cs="Times New Roman" w:eastAsia="宋体"/>
        </w:rPr>
        <w:t>[9] Jin M, Wang S, Ma L, et al. Time-LLM: Time Series Forecasting by Reprogramming Large Language Models. International Conference on Learning Representations, 2024.</w:t>
      </w:r>
    </w:p>
    <w:p>
      <w:pPr>
        <w:spacing w:line="288" w:lineRule="auto" w:after="80"/>
      </w:pPr>
      <w:r>
        <w:rPr>
          <w:rFonts w:ascii="Times New Roman" w:hAnsi="Times New Roman" w:cs="Times New Roman" w:eastAsia="宋体"/>
        </w:rPr>
        <w:t>[10] Reimers N, Gurevych I. Sentence-BERT: Sentence Embeddings using Siamese BERT-Networks. EMNLP-IJCNLP, 2019:3982-3992. DOI: 10.18653/v1/D19-1410.</w:t>
      </w:r>
    </w:p>
    <w:p>
      <w:pPr>
        <w:spacing w:line="288" w:lineRule="auto" w:after="80"/>
      </w:pPr>
      <w:r>
        <w:rPr>
          <w:rFonts w:ascii="Times New Roman" w:hAnsi="Times New Roman" w:cs="Times New Roman" w:eastAsia="宋体"/>
        </w:rPr>
        <w:t>[11] Wang W, Wei F, Dong L, et al. MiniLM: Deep Self-Attention Distillation for Task-Agnostic Compression of Pre-Trained Transformers. Advances in Neural Information Processing Systems, 2020.</w:t>
      </w:r>
    </w:p>
    <w:p>
      <w:pPr>
        <w:spacing w:line="288" w:lineRule="auto" w:after="80"/>
      </w:pPr>
      <w:r>
        <w:rPr>
          <w:rFonts w:ascii="Times New Roman" w:hAnsi="Times New Roman" w:cs="Times New Roman" w:eastAsia="宋体"/>
        </w:rPr>
        <w:t>[12] Liu C, Xu Q, Miao H, et al. TimeCMA: Towards LLM-Empowered Multivariate Time Series Forecasting via Cross-Modality Alignment. Proceedings of the AAAI Conference on Artificial Intelligence, 2025, 39(18):18780-18788. DOI: 10.1609/aaai.v39i18.34067.</w:t>
      </w:r>
    </w:p>
    <w:p>
      <w:pPr>
        <w:spacing w:line="288" w:lineRule="auto" w:after="80"/>
      </w:pPr>
      <w:r>
        <w:rPr>
          <w:rFonts w:ascii="Times New Roman" w:hAnsi="Times New Roman" w:cs="Times New Roman" w:eastAsia="宋体"/>
        </w:rPr>
        <w:t>[13] Chowdhury A M, Akter R, Arib S H. T3Time: Tri-Modal Time Series Forecasting via Adaptive Multi-Head Alignment and Residual Fusion. Proceedings of the AAAI Conference on Artificial Intelligence, 2026, 40(25):20597-20605. DOI: 10.1609/aaai.v40i25.39196.</w:t>
      </w:r>
    </w:p>
    <w:p>
      <w:pPr>
        <w:spacing w:line="288" w:lineRule="auto" w:after="80"/>
      </w:pPr>
      <w:r>
        <w:rPr>
          <w:rFonts w:ascii="Times New Roman" w:hAnsi="Times New Roman" w:cs="Times New Roman" w:eastAsia="宋体"/>
        </w:rPr>
        <w:t>[14] Spectral Text Fusion for Multimodal Time Series Forecasting. arXiv:2602.01588, 2026. 预印本.</w:t>
      </w:r>
    </w:p>
    <w:p>
      <w:pPr>
        <w:spacing w:line="288" w:lineRule="auto" w:after="80"/>
      </w:pPr>
      <w:r>
        <w:rPr>
          <w:rFonts w:ascii="Times New Roman" w:hAnsi="Times New Roman" w:cs="Times New Roman" w:eastAsia="宋体"/>
        </w:rPr>
        <w:t>[15] Künsch H R. The Jackknife and the Bootstrap for General Stationary Observations. The Annals of Statistics, 1989, 17(3):1217-1241. DOI: 10.1214/aos/1176347265.</w:t>
      </w:r>
    </w:p>
    <w:p>
      <w:pPr>
        <w:pStyle w:val="Heading1"/>
        <w:keepNext/>
        <w:spacing w:before="200" w:after="100"/>
      </w:pPr>
      <w:r>
        <w:rPr>
          <w:rFonts w:ascii="Times New Roman" w:hAnsi="Times New Roman" w:cs="Times New Roman" w:eastAsia="黑体"/>
        </w:rPr>
        <w:t>附录 A 关键结果复核</w:t>
      </w:r>
    </w:p>
    <w:p>
      <w:pPr>
        <w:spacing w:line="348" w:lineRule="auto" w:after="100"/>
        <w:ind w:firstLine="420"/>
      </w:pPr>
      <w:r>
        <w:rPr>
          <w:rFonts w:ascii="Times New Roman" w:hAnsi="Times New Roman" w:cs="Times New Roman" w:eastAsia="宋体"/>
        </w:rPr>
        <w:t>18项任务的完整MSE、MAE、RMSE、相对改善、移动块区间、路径p值和分段判定分别保存在 safefame_v2_metrics.csv 与 safefame_v2_selection_audit.csv。循环移位、匹配容量对照和功效审计保存在 reviewer_sensitivity_results.csv。正文表格为这些文件的直接汇总。</w:t>
      </w:r>
    </w:p>
    <w:p>
      <w:pPr>
        <w:pStyle w:val="Caption"/>
        <w:spacing w:before="60" w:after="100"/>
        <w:jc w:val="center"/>
      </w:pPr>
      <w:r>
        <w:rPr>
          <w:rFonts w:ascii="Times New Roman" w:hAnsi="Times New Roman" w:cs="Times New Roman" w:eastAsia="宋体"/>
        </w:rPr>
        <w:t>表 A1 语义候选完整测试指标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20"/>
        <w:gridCol w:w="1320"/>
        <w:gridCol w:w="1320"/>
        <w:gridCol w:w="1320"/>
        <w:gridCol w:w="1320"/>
        <w:gridCol w:w="1320"/>
        <w:gridCol w:w="1320"/>
      </w:tblGrid>
      <w:tr>
        <w:trPr>
          <w:tblHeader w:val="true"/>
        </w:trPr>
        <w:tc>
          <w:tcPr>
            <w:tcW w:type="dxa" w:w="158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领域</w:t>
            </w:r>
          </w:p>
        </w:tc>
        <w:tc>
          <w:tcPr>
            <w:tcW w:type="dxa" w:w="56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H</w:t>
            </w:r>
          </w:p>
        </w:tc>
        <w:tc>
          <w:tcPr>
            <w:tcW w:type="dxa" w:w="124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MSE</w:t>
            </w:r>
          </w:p>
        </w:tc>
        <w:tc>
          <w:tcPr>
            <w:tcW w:type="dxa" w:w="124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MAE</w:t>
            </w:r>
          </w:p>
        </w:tc>
        <w:tc>
          <w:tcPr>
            <w:tcW w:type="dxa" w:w="124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RMSE</w:t>
            </w:r>
          </w:p>
        </w:tc>
        <w:tc>
          <w:tcPr>
            <w:tcW w:type="dxa" w:w="1417"/>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相对改善</w:t>
            </w:r>
          </w:p>
        </w:tc>
        <w:tc>
          <w:tcPr>
            <w:tcW w:type="dxa" w:w="2268"/>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4"/>
              </w:rPr>
              <w:t>块区间</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Climate</w:t>
            </w:r>
          </w:p>
        </w:tc>
        <w:tc>
          <w:tcPr>
            <w:tcW w:type="dxa" w:w="56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4</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0.1366</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0.2767</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0.3696</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22.04%</w:t>
            </w:r>
          </w:p>
        </w:tc>
        <w:tc>
          <w:tcPr>
            <w:tcW w:type="dxa" w:w="226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4"/>
              </w:rPr>
              <w:t>[0.0073, 0.0648]</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Climate</w:t>
            </w:r>
          </w:p>
        </w:tc>
        <w:tc>
          <w:tcPr>
            <w:tcW w:type="dxa" w:w="56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0.4372</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0.5080</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0.6612</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35.20%</w:t>
            </w:r>
          </w:p>
        </w:tc>
        <w:tc>
          <w:tcPr>
            <w:tcW w:type="dxa" w:w="226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4"/>
              </w:rPr>
              <w:t>[0.0337, 0.4378]</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Climate</w:t>
            </w:r>
          </w:p>
        </w:tc>
        <w:tc>
          <w:tcPr>
            <w:tcW w:type="dxa" w:w="56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24</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0.7785</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0.6700</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0.8823</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11.64%</w:t>
            </w:r>
          </w:p>
        </w:tc>
        <w:tc>
          <w:tcPr>
            <w:tcW w:type="dxa" w:w="226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4"/>
              </w:rPr>
              <w:t>[-0.1938, 0.4558]</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Energy</w:t>
            </w:r>
          </w:p>
        </w:tc>
        <w:tc>
          <w:tcPr>
            <w:tcW w:type="dxa" w:w="56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4</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0.0174</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0.0867</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0.1319</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7.15%</w:t>
            </w:r>
          </w:p>
        </w:tc>
        <w:tc>
          <w:tcPr>
            <w:tcW w:type="dxa" w:w="226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4"/>
              </w:rPr>
              <w:t>[-0.0003, 0.0034]</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Energy</w:t>
            </w:r>
          </w:p>
        </w:tc>
        <w:tc>
          <w:tcPr>
            <w:tcW w:type="dxa" w:w="56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0.0872</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0.2114</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0.2952</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3.59%</w:t>
            </w:r>
          </w:p>
        </w:tc>
        <w:tc>
          <w:tcPr>
            <w:tcW w:type="dxa" w:w="226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4"/>
              </w:rPr>
              <w:t>[-0.0050, 0.0094]</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Energy</w:t>
            </w:r>
          </w:p>
        </w:tc>
        <w:tc>
          <w:tcPr>
            <w:tcW w:type="dxa" w:w="56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24</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0.1798</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0.3131</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0.4240</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1.56%</w:t>
            </w:r>
          </w:p>
        </w:tc>
        <w:tc>
          <w:tcPr>
            <w:tcW w:type="dxa" w:w="226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4"/>
              </w:rPr>
              <w:t>[-0.0126, 0.0139]</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Economy</w:t>
            </w:r>
          </w:p>
        </w:tc>
        <w:tc>
          <w:tcPr>
            <w:tcW w:type="dxa" w:w="56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0.1808</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0.3262</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0.4252</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-51.98%</w:t>
            </w:r>
          </w:p>
        </w:tc>
        <w:tc>
          <w:tcPr>
            <w:tcW w:type="dxa" w:w="226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4"/>
              </w:rPr>
              <w:t>[-0.1420, -0.0114]</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Economy</w:t>
            </w:r>
          </w:p>
        </w:tc>
        <w:tc>
          <w:tcPr>
            <w:tcW w:type="dxa" w:w="56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6</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0.2367</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0.3857</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0.4865</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-59.01%</w:t>
            </w:r>
          </w:p>
        </w:tc>
        <w:tc>
          <w:tcPr>
            <w:tcW w:type="dxa" w:w="226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4"/>
              </w:rPr>
              <w:t>[-0.1709, -0.0265]</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Economy</w:t>
            </w:r>
          </w:p>
        </w:tc>
        <w:tc>
          <w:tcPr>
            <w:tcW w:type="dxa" w:w="56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0.4193</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0.5207</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0.6475</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-108.10%</w:t>
            </w:r>
          </w:p>
        </w:tc>
        <w:tc>
          <w:tcPr>
            <w:tcW w:type="dxa" w:w="226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4"/>
              </w:rPr>
              <w:t>[-0.3891, -0.0869]</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Traffic</w:t>
            </w:r>
          </w:p>
        </w:tc>
        <w:tc>
          <w:tcPr>
            <w:tcW w:type="dxa" w:w="56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0.0770</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0.1356</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0.2775</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37.31%</w:t>
            </w:r>
          </w:p>
        </w:tc>
        <w:tc>
          <w:tcPr>
            <w:tcW w:type="dxa" w:w="226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4"/>
              </w:rPr>
              <w:t>[-0.0007, 0.1202]</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Traffic</w:t>
            </w:r>
          </w:p>
        </w:tc>
        <w:tc>
          <w:tcPr>
            <w:tcW w:type="dxa" w:w="56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6</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0.0880</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0.1478</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0.2967</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29.98%</w:t>
            </w:r>
          </w:p>
        </w:tc>
        <w:tc>
          <w:tcPr>
            <w:tcW w:type="dxa" w:w="226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4"/>
              </w:rPr>
              <w:t>[-0.0003, 0.1033]</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Traffic</w:t>
            </w:r>
          </w:p>
        </w:tc>
        <w:tc>
          <w:tcPr>
            <w:tcW w:type="dxa" w:w="56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0.1009</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0.1646</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0.3176</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23.35%</w:t>
            </w:r>
          </w:p>
        </w:tc>
        <w:tc>
          <w:tcPr>
            <w:tcW w:type="dxa" w:w="226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4"/>
              </w:rPr>
              <w:t>[-0.0008, 0.0859]</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Agriculture</w:t>
            </w:r>
          </w:p>
        </w:tc>
        <w:tc>
          <w:tcPr>
            <w:tcW w:type="dxa" w:w="56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0.0397</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0.1441</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0.1991</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2.40%</w:t>
            </w:r>
          </w:p>
        </w:tc>
        <w:tc>
          <w:tcPr>
            <w:tcW w:type="dxa" w:w="226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4"/>
              </w:rPr>
              <w:t>[-0.0003, 0.0031]</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Agriculture</w:t>
            </w:r>
          </w:p>
        </w:tc>
        <w:tc>
          <w:tcPr>
            <w:tcW w:type="dxa" w:w="56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6</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0.0798</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0.1977</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0.2825</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4.26%</w:t>
            </w:r>
          </w:p>
        </w:tc>
        <w:tc>
          <w:tcPr>
            <w:tcW w:type="dxa" w:w="226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4"/>
              </w:rPr>
              <w:t>[-0.0010, 0.0110]</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Agriculture</w:t>
            </w:r>
          </w:p>
        </w:tc>
        <w:tc>
          <w:tcPr>
            <w:tcW w:type="dxa" w:w="56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0.1702</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0.2733</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0.4126</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33.79%</w:t>
            </w:r>
          </w:p>
        </w:tc>
        <w:tc>
          <w:tcPr>
            <w:tcW w:type="dxa" w:w="226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4"/>
              </w:rPr>
              <w:t>[0.0202, 0.1892]</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Security</w:t>
            </w:r>
          </w:p>
        </w:tc>
        <w:tc>
          <w:tcPr>
            <w:tcW w:type="dxa" w:w="56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3</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90.2702</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4.4559</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9.5011</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-23.81%</w:t>
            </w:r>
          </w:p>
        </w:tc>
        <w:tc>
          <w:tcPr>
            <w:tcW w:type="dxa" w:w="226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4"/>
              </w:rPr>
              <w:t>[-71.6279, 17.6762]</w:t>
            </w:r>
          </w:p>
        </w:tc>
      </w:tr>
      <w:tr>
        <w:trPr>
          <w:cantSplit/>
        </w:trPr>
        <w:tc>
          <w:tcPr>
            <w:tcW w:type="dxa" w:w="158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Security</w:t>
            </w:r>
          </w:p>
        </w:tc>
        <w:tc>
          <w:tcPr>
            <w:tcW w:type="dxa" w:w="56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6</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73.5979</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4.3086</w:t>
            </w:r>
          </w:p>
        </w:tc>
        <w:tc>
          <w:tcPr>
            <w:tcW w:type="dxa" w:w="124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8.5789</w:t>
            </w:r>
          </w:p>
        </w:tc>
        <w:tc>
          <w:tcPr>
            <w:tcW w:type="dxa" w:w="1417"/>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4"/>
              </w:rPr>
              <w:t>5.38%</w:t>
            </w:r>
          </w:p>
        </w:tc>
        <w:tc>
          <w:tcPr>
            <w:tcW w:type="dxa" w:w="2268"/>
            <w:vAlign w:val="center"/>
            <w:tcMar>
              <w:top w:w="100" w:type="dxa"/>
              <w:start w:w="100" w:type="dxa"/>
              <w:bottom w:w="100" w:type="dxa"/>
              <w:end w:w="100" w:type="dxa"/>
            </w:tcMar>
          </w:tcPr>
          <w:p>
            <w:pPr>
              <w:spacing w:line="276" w:lineRule="auto"/>
              <w:jc w:val="left"/>
            </w:pPr>
            <w:r>
              <w:rPr>
                <w:rFonts w:ascii="Times New Roman" w:hAnsi="Times New Roman" w:cs="Times New Roman" w:eastAsia="宋体"/>
                <w:sz w:val="14"/>
              </w:rPr>
              <w:t>[-16.4127, 27.7007]</w:t>
            </w:r>
          </w:p>
        </w:tc>
      </w:tr>
      <w:tr>
        <w:trPr>
          <w:cantSplit/>
        </w:trPr>
        <w:tc>
          <w:tcPr>
            <w:tcW w:type="dxa" w:w="158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Security</w:t>
            </w:r>
          </w:p>
        </w:tc>
        <w:tc>
          <w:tcPr>
            <w:tcW w:type="dxa" w:w="56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12</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85.1986</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4.8523</w:t>
            </w:r>
          </w:p>
        </w:tc>
        <w:tc>
          <w:tcPr>
            <w:tcW w:type="dxa" w:w="124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9.2303</w:t>
            </w:r>
          </w:p>
        </w:tc>
        <w:tc>
          <w:tcPr>
            <w:tcW w:type="dxa" w:w="1417"/>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4"/>
              </w:rPr>
              <w:t>-18.01%</w:t>
            </w:r>
          </w:p>
        </w:tc>
        <w:tc>
          <w:tcPr>
            <w:tcW w:type="dxa" w:w="2268"/>
            <w:vAlign w:val="center"/>
            <w:shd w:fill="EFF5F8"/>
            <w:tcMar>
              <w:top w:w="100" w:type="dxa"/>
              <w:start w:w="100" w:type="dxa"/>
              <w:bottom w:w="100" w:type="dxa"/>
              <w:end w:w="100" w:type="dxa"/>
            </w:tcMar>
          </w:tcPr>
          <w:p>
            <w:pPr>
              <w:spacing w:line="276" w:lineRule="auto"/>
              <w:jc w:val="left"/>
            </w:pPr>
            <w:r>
              <w:rPr>
                <w:rFonts w:ascii="Times New Roman" w:hAnsi="Times New Roman" w:cs="Times New Roman" w:eastAsia="宋体"/>
                <w:sz w:val="14"/>
              </w:rPr>
              <w:t>[-32.1596, -1.4681]</w:t>
            </w:r>
          </w:p>
        </w:tc>
      </w:tr>
    </w:tbl>
    <w:p>
      <w:pPr>
        <w:spacing w:after="40"/>
      </w:pPr>
    </w:p>
    <w:p>
      <w:pPr>
        <w:pStyle w:val="Heading1"/>
        <w:keepNext/>
        <w:spacing w:before="200" w:after="100"/>
      </w:pPr>
      <w:r>
        <w:rPr>
          <w:rFonts w:ascii="Times New Roman" w:hAnsi="Times New Roman" w:cs="Times New Roman" w:eastAsia="黑体"/>
        </w:rPr>
        <w:t>附录 B 课程要求落实清单</w:t>
      </w:r>
    </w:p>
    <w:p>
      <w:pPr>
        <w:pStyle w:val="Caption"/>
        <w:spacing w:before="60" w:after="100"/>
        <w:jc w:val="center"/>
      </w:pPr>
      <w:r>
        <w:rPr>
          <w:rFonts w:ascii="Times New Roman" w:hAnsi="Times New Roman" w:cs="Times New Roman" w:eastAsia="宋体"/>
        </w:rPr>
        <w:t>表 B1 课程设计规范落实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0"/>
        <w:gridCol w:w="3080"/>
        <w:gridCol w:w="3080"/>
      </w:tblGrid>
      <w:tr>
        <w:trPr>
          <w:tblHeader w:val="true"/>
        </w:trPr>
        <w:tc>
          <w:tcPr>
            <w:tcW w:type="dxa" w:w="3402"/>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课程要求</w:t>
            </w:r>
          </w:p>
        </w:tc>
        <w:tc>
          <w:tcPr>
            <w:tcW w:type="dxa" w:w="4535"/>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交付位置</w:t>
            </w:r>
          </w:p>
        </w:tc>
        <w:tc>
          <w:tcPr>
            <w:tcW w:type="dxa" w:w="1701"/>
            <w:vAlign w:val="center"/>
            <w:shd w:fill="234E70"/>
            <w:tcMar>
              <w:top w:w="100" w:type="dxa"/>
              <w:start w:w="100" w:type="dxa"/>
              <w:bottom w:w="100" w:type="dxa"/>
              <w:end w:w="100" w:type="dxa"/>
            </w:tcMar>
          </w:tcPr>
          <w:p>
            <w:pPr>
              <w:jc w:val="center"/>
            </w:pPr>
            <w:r>
              <w:rPr>
                <w:rFonts w:ascii="Times New Roman" w:hAnsi="Times New Roman" w:cs="Times New Roman" w:eastAsia="宋体"/>
                <w:b/>
                <w:color w:val="FFFFFF"/>
                <w:sz w:val="16"/>
              </w:rPr>
              <w:t>状态</w:t>
            </w:r>
          </w:p>
        </w:tc>
      </w:tr>
      <w:tr>
        <w:trPr>
          <w:cantSplit/>
        </w:trPr>
        <w:tc>
          <w:tcPr>
            <w:tcW w:type="dxa" w:w="340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完整问题描述</w:t>
            </w:r>
          </w:p>
        </w:tc>
        <w:tc>
          <w:tcPr>
            <w:tcW w:type="dxa" w:w="4535"/>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正文第1章</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完成</w:t>
            </w:r>
          </w:p>
        </w:tc>
      </w:tr>
      <w:tr>
        <w:trPr>
          <w:cantSplit/>
        </w:trPr>
        <w:tc>
          <w:tcPr>
            <w:tcW w:type="dxa" w:w="3402"/>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系统或实验设计</w:t>
            </w:r>
          </w:p>
        </w:tc>
        <w:tc>
          <w:tcPr>
            <w:tcW w:type="dxa" w:w="4535"/>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第5至6章</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完成</w:t>
            </w:r>
          </w:p>
        </w:tc>
      </w:tr>
      <w:tr>
        <w:trPr>
          <w:cantSplit/>
        </w:trPr>
        <w:tc>
          <w:tcPr>
            <w:tcW w:type="dxa" w:w="340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算法设计描述</w:t>
            </w:r>
          </w:p>
        </w:tc>
        <w:tc>
          <w:tcPr>
            <w:tcW w:type="dxa" w:w="4535"/>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第5章公式与步骤</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完成</w:t>
            </w:r>
          </w:p>
        </w:tc>
      </w:tr>
      <w:tr>
        <w:trPr>
          <w:cantSplit/>
        </w:trPr>
        <w:tc>
          <w:tcPr>
            <w:tcW w:type="dxa" w:w="3402"/>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实验结果及分析图表</w:t>
            </w:r>
          </w:p>
        </w:tc>
        <w:tc>
          <w:tcPr>
            <w:tcW w:type="dxa" w:w="4535"/>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第7至8章</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完成</w:t>
            </w:r>
          </w:p>
        </w:tc>
      </w:tr>
      <w:tr>
        <w:trPr>
          <w:cantSplit/>
        </w:trPr>
        <w:tc>
          <w:tcPr>
            <w:tcW w:type="dxa" w:w="340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源代码</w:t>
            </w:r>
          </w:p>
        </w:tc>
        <w:tc>
          <w:tcPr>
            <w:tcW w:type="dxa" w:w="4535"/>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src目录与支撑材料</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完成</w:t>
            </w:r>
          </w:p>
        </w:tc>
      </w:tr>
      <w:tr>
        <w:trPr>
          <w:cantSplit/>
        </w:trPr>
        <w:tc>
          <w:tcPr>
            <w:tcW w:type="dxa" w:w="3402"/>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详细实验数据和过程资料</w:t>
            </w:r>
          </w:p>
        </w:tc>
        <w:tc>
          <w:tcPr>
            <w:tcW w:type="dxa" w:w="4535"/>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outputs与docs</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完成</w:t>
            </w:r>
          </w:p>
        </w:tc>
      </w:tr>
      <w:tr>
        <w:trPr>
          <w:cantSplit/>
        </w:trPr>
        <w:tc>
          <w:tcPr>
            <w:tcW w:type="dxa" w:w="3402"/>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个人作业</w:t>
            </w:r>
          </w:p>
        </w:tc>
        <w:tc>
          <w:tcPr>
            <w:tcW w:type="dxa" w:w="4535"/>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所有交付按个人项目整理</w:t>
            </w:r>
          </w:p>
        </w:tc>
        <w:tc>
          <w:tcPr>
            <w:tcW w:type="dxa" w:w="1701"/>
            <w:vAlign w:val="center"/>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完成</w:t>
            </w:r>
          </w:p>
        </w:tc>
      </w:tr>
      <w:tr>
        <w:trPr>
          <w:cantSplit/>
        </w:trPr>
        <w:tc>
          <w:tcPr>
            <w:tcW w:type="dxa" w:w="3402"/>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无需PPT展示</w:t>
            </w:r>
          </w:p>
        </w:tc>
        <w:tc>
          <w:tcPr>
            <w:tcW w:type="dxa" w:w="4535"/>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第10周改为书面中期报告</w:t>
            </w:r>
          </w:p>
        </w:tc>
        <w:tc>
          <w:tcPr>
            <w:tcW w:type="dxa" w:w="1701"/>
            <w:vAlign w:val="center"/>
            <w:shd w:fill="EFF5F8"/>
            <w:tcMar>
              <w:top w:w="100" w:type="dxa"/>
              <w:start w:w="100" w:type="dxa"/>
              <w:bottom w:w="100" w:type="dxa"/>
              <w:end w:w="100" w:type="dxa"/>
            </w:tcMar>
          </w:tcPr>
          <w:p>
            <w:pPr>
              <w:spacing w:line="276" w:lineRule="auto"/>
              <w:jc w:val="center"/>
            </w:pPr>
            <w:r>
              <w:rPr>
                <w:rFonts w:ascii="Times New Roman" w:hAnsi="Times New Roman" w:cs="Times New Roman" w:eastAsia="宋体"/>
                <w:sz w:val="16"/>
              </w:rPr>
              <w:t>完成</w:t>
            </w:r>
          </w:p>
        </w:tc>
      </w:tr>
    </w:tbl>
    <w:sectPr w:rsidR="00FC693F" w:rsidRPr="0006063C" w:rsidSect="00034616">
      <w:headerReference w:type="default" r:id="rId9"/>
      <w:footerReference w:type="default" r:id="rId10"/>
      <w:pgSz w:w="11906" w:h="16838"/>
      <w:pgMar w:top="1276" w:right="1276" w:bottom="1020" w:left="138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rPr>
      <w:t xml:space="preserve">第 </w:t>
    </w:r>
    <w:fldSimple w:instr="PAGE"/>
    <w:r>
      <w:rPr>
        <w:rFonts w:ascii="Times New Roman" w:hAnsi="Times New Roman" w:cs="Times New Roman" w:eastAsia="宋体"/>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宋体"/>
        <w:color w:val="606060"/>
        <w:sz w:val="16"/>
      </w:rPr>
      <w:t>人工智能课程设计  SafeFAME 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s="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宋体"/>
    </w:rPr>
  </w:style>
  <w:style w:type="character" w:customStyle="1" w:styleId="HeaderChar">
    <w:name w:val="Header Char"/>
    <w:basedOn w:val="DefaultParagraphFont"/>
    <w:link w:val="Header"/>
    <w:uiPriority w:val="99"/>
    <w:rsid w:val="00E618BF"/>
    <w:rPr>
      <w:rFonts w:ascii="Times New Roman" w:hAnsi="Times New Roman" w:cs="Times New Roman" w:eastAsia="宋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宋体"/>
    </w:rPr>
  </w:style>
  <w:style w:type="character" w:customStyle="1" w:styleId="FooterChar">
    <w:name w:val="Footer Char"/>
    <w:basedOn w:val="DefaultParagraphFont"/>
    <w:link w:val="Footer"/>
    <w:uiPriority w:val="99"/>
    <w:rsid w:val="00E618BF"/>
    <w:rPr>
      <w:rFonts w:ascii="Times New Roman" w:hAnsi="Times New Roman" w:cs="Times New Roman" w:eastAsia="宋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cs="Times New Roman" w:eastAsia="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s="Times New Roman" w:eastAsia="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cs="Times New Roman" w:eastAsia="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cs="Times New Roman" w:eastAsia="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s="Times New Roman" w:eastAsia="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cs="Times New Roman" w:eastAsia="宋体"/>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cs="Times New Roman" w:eastAsia="宋体"/>
    </w:rPr>
  </w:style>
  <w:style w:type="table" w:default="1" w:styleId="TableNormal">
    <w:name w:val="Normal Table"/>
    <w:uiPriority w:val="99"/>
    <w:semiHidden/>
    <w:unhideWhenUsed/>
    <w:rPr>
      <w:rFonts w:ascii="Times New Roman" w:hAnsi="Times New Roman" w:cs="Times New Roman" w:eastAsia="宋体"/>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宋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cs="Times New Roman" w:eastAsia="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cs="Times New Roman" w:eastAsia="宋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cs="Times New Roman" w:eastAsia="宋体"/>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cs="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s="Times New Roman" w:eastAsia="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cs="Times New Roman"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cs="Times New Roman" w:eastAsia="宋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宋体"/>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宋体"/>
    </w:rPr>
  </w:style>
  <w:style w:type="character" w:customStyle="1" w:styleId="BodyTextChar">
    <w:name w:val="Body Text Char"/>
    <w:basedOn w:val="DefaultParagraphFont"/>
    <w:link w:val="BodyText"/>
    <w:uiPriority w:val="99"/>
    <w:rsid w:val="00AA1D8D"/>
    <w:rPr>
      <w:rFonts w:ascii="Times New Roman" w:hAnsi="Times New Roman" w:cs="Times New Roman" w:eastAsia="宋体"/>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宋体"/>
    </w:rPr>
  </w:style>
  <w:style w:type="character" w:customStyle="1" w:styleId="BodyText2Char">
    <w:name w:val="Body Text 2 Char"/>
    <w:basedOn w:val="DefaultParagraphFont"/>
    <w:link w:val="BodyText2"/>
    <w:uiPriority w:val="99"/>
    <w:rsid w:val="00AA1D8D"/>
    <w:rPr>
      <w:rFonts w:ascii="Times New Roman" w:hAnsi="Times New Roman" w:cs="Times New Roman" w:eastAsia="宋体"/>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宋体"/>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宋体"/>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宋体"/>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宋体"/>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宋体"/>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宋体"/>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宋体"/>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宋体"/>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宋体"/>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宋体"/>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宋体"/>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宋体"/>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宋体"/>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宋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宋体"/>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宋体"/>
      <w:sz w:val="20"/>
      <w:szCs w:val="20"/>
    </w:rPr>
  </w:style>
  <w:style w:type="paragraph" w:styleId="Quote">
    <w:name w:val="Quote"/>
    <w:basedOn w:val="Normal"/>
    <w:next w:val="Normal"/>
    <w:link w:val="QuoteChar"/>
    <w:uiPriority w:val="29"/>
    <w:qFormat/>
    <w:rsid w:val="00FC693F"/>
    <w:rPr>
      <w:rFonts w:ascii="Times New Roman" w:hAnsi="Times New Roman" w:cs="Times New Roman" w:eastAsia="宋体"/>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eastAsia="宋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cs="Times New Roman" w:eastAsia="宋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s="Times New Roman" w:eastAsia="宋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cs="Times New Roman" w:eastAsia="宋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cs="Times New Roman" w:eastAsia="宋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s="Times New Roman" w:eastAsia="宋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cs="Times New Roman" w:eastAsia="宋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cs="Times New Roman"/>
      <w:b/>
      <w:bCs/>
      <w:color w:val="000000"/>
      <w:sz w:val="18"/>
      <w:szCs w:val="18"/>
    </w:rPr>
  </w:style>
  <w:style w:type="character" w:styleId="Strong">
    <w:name w:val="Strong"/>
    <w:basedOn w:val="DefaultParagraphFont"/>
    <w:uiPriority w:val="22"/>
    <w:qFormat/>
    <w:rsid w:val="00FC693F"/>
    <w:rPr>
      <w:rFonts w:ascii="Times New Roman" w:hAnsi="Times New Roman" w:cs="Times New Roman" w:eastAsia="宋体"/>
      <w:b/>
      <w:bCs/>
    </w:rPr>
  </w:style>
  <w:style w:type="character" w:styleId="Emphasis">
    <w:name w:val="Emphasis"/>
    <w:basedOn w:val="DefaultParagraphFont"/>
    <w:uiPriority w:val="20"/>
    <w:qFormat/>
    <w:rsid w:val="00FC693F"/>
    <w:rPr>
      <w:rFonts w:ascii="Times New Roman" w:hAnsi="Times New Roman" w:cs="Times New Roman" w:eastAsia="宋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宋体"/>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宋体"/>
      <w:b/>
      <w:bCs/>
      <w:i/>
      <w:iCs/>
      <w:color w:val="4F81BD" w:themeColor="accent1"/>
    </w:rPr>
  </w:style>
  <w:style w:type="character" w:styleId="SubtleEmphasis">
    <w:name w:val="Subtle Emphasis"/>
    <w:basedOn w:val="DefaultParagraphFont"/>
    <w:uiPriority w:val="19"/>
    <w:qFormat/>
    <w:rsid w:val="00FC693F"/>
    <w:rPr>
      <w:rFonts w:ascii="Times New Roman" w:hAnsi="Times New Roman" w:cs="Times New Roman" w:eastAsia="宋体"/>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cs="Times New Roman" w:eastAsia="宋体"/>
      <w:b/>
      <w:bCs/>
      <w:i/>
      <w:iCs/>
      <w:color w:val="4F81BD" w:themeColor="accent1"/>
    </w:rPr>
  </w:style>
  <w:style w:type="character" w:styleId="SubtleReference">
    <w:name w:val="Subtle Reference"/>
    <w:basedOn w:val="DefaultParagraphFont"/>
    <w:uiPriority w:val="31"/>
    <w:qFormat/>
    <w:rsid w:val="00FC693F"/>
    <w:rPr>
      <w:rFonts w:ascii="Times New Roman" w:hAnsi="Times New Roman" w:cs="Times New Roman" w:eastAsia="宋体"/>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cs="Times New Roman" w:eastAsia="宋体"/>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cs="Times New Roman" w:eastAsia="宋体"/>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宋体"/>
    </w:rPr>
  </w:style>
  <w:style w:type="table" w:styleId="TableGrid">
    <w:name w:val="Table Grid"/>
    <w:basedOn w:val="TableNormal"/>
    <w:uiPriority w:val="59"/>
    <w:rsid w:val="00FC693F"/>
    <w:pPr>
      <w:spacing w:after="0" w:line="240" w:lineRule="auto"/>
    </w:pPr>
    <w:rPr>
      <w:rFonts w:ascii="Times New Roman" w:hAnsi="Times New Roman" w:cs="Times New Roman" w:eastAsia="宋体"/>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宋体"/>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宋体"/>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宋体"/>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宋体"/>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宋体"/>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宋体"/>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宋体"/>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宋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宋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文本何时有助于时间序列预测 多领域严格时点反事实检验与安全回退</dc:title>
  <dc:subject>人工智能课程设计</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