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F5E5A"/>
          <w:sz w:val="20"/>
          <w:szCs w:val="20"/>
        </w:rPr>
        <w:t xml:space="preserve">Smart India Hackathon 2026</w:t>
      </w:r>
    </w:p>
    <w:p>
      <w:pPr>
        <w:spacing w:after="240"/>
        <w:jc w:val="center"/>
      </w:pPr>
      <w:r>
        <w:rPr>
          <w:b/>
          <w:bCs/>
          <w:color w:val="1D9E75"/>
          <w:sz w:val="36"/>
          <w:szCs w:val="36"/>
        </w:rPr>
        <w:t xml:space="preserve">AI-Powered MSME Compliance Assistant</w:t>
      </w:r>
    </w:p>
    <w:p>
      <w:pPr>
        <w:pStyle w:val="Heading1"/>
        <w:pBdr>
          <w:bottom w:val="single" w:color="1D9E75" w:sz="6" w:space="4"/>
        </w:pBdr>
        <w:spacing w:after="160" w:before="320"/>
      </w:pPr>
      <w:r>
        <w:rPr>
          <w:b/>
          <w:bCs/>
          <w:color w:val="222222"/>
          <w:sz w:val="26"/>
          <w:szCs w:val="26"/>
        </w:rPr>
        <w:t xml:space="preserve">1. Topic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1F5EE" w:val="clear"/>
            <w:tcMar>
              <w:top w:type="dxa" w:w="100"/>
              <w:left w:type="dxa" w:w="150"/>
              <w:bottom w:type="dxa" w:w="100"/>
              <w:right w:type="dxa" w:w="150"/>
            </w:tcMar>
          </w:tcPr>
          <w:p>
            <w:r>
              <w:rPr>
                <w:b/>
                <w:bCs/>
                <w:color w:val="085041"/>
                <w:sz w:val="21"/>
                <w:szCs w:val="21"/>
              </w:rPr>
              <w:t xml:space="preserve">Domain</w:t>
            </w:r>
          </w:p>
        </w:tc>
        <w:tc>
          <w:tcPr>
            <w:tcW w:type="dxa" w:w="6800"/>
            <w:tcMar>
              <w:top w:type="dxa" w:w="100"/>
              <w:left w:type="dxa" w:w="150"/>
              <w:bottom w:type="dxa" w:w="100"/>
              <w:right w:type="dxa" w:w="150"/>
            </w:tcMar>
          </w:tcPr>
          <w:p>
            <w:r>
              <w:rPr>
                <w:color w:val="222222"/>
                <w:sz w:val="21"/>
                <w:szCs w:val="21"/>
              </w:rPr>
              <w:t xml:space="preserve">Artificial Intelligence</w:t>
            </w:r>
          </w:p>
        </w:tc>
      </w:tr>
      <w:tr>
        <w:tc>
          <w:tcPr>
            <w:tcW w:type="dxa" w:w="2600"/>
            <w:shd w:fill="E1F5EE" w:val="clear"/>
            <w:tcMar>
              <w:top w:type="dxa" w:w="100"/>
              <w:left w:type="dxa" w:w="150"/>
              <w:bottom w:type="dxa" w:w="100"/>
              <w:right w:type="dxa" w:w="150"/>
            </w:tcMar>
          </w:tcPr>
          <w:p>
            <w:r>
              <w:rPr>
                <w:b/>
                <w:bCs/>
                <w:color w:val="085041"/>
                <w:sz w:val="21"/>
                <w:szCs w:val="21"/>
              </w:rPr>
              <w:t xml:space="preserve">Track</w:t>
            </w:r>
          </w:p>
        </w:tc>
        <w:tc>
          <w:tcPr>
            <w:tcW w:type="dxa" w:w="6800"/>
            <w:tcMar>
              <w:top w:type="dxa" w:w="100"/>
              <w:left w:type="dxa" w:w="150"/>
              <w:bottom w:type="dxa" w:w="100"/>
              <w:right w:type="dxa" w:w="150"/>
            </w:tcMar>
          </w:tcPr>
          <w:p>
            <w:r>
              <w:rPr>
                <w:color w:val="222222"/>
                <w:sz w:val="21"/>
                <w:szCs w:val="21"/>
              </w:rPr>
              <w:t xml:space="preserve">AI-Powered MSME Compliance Assistant</w:t>
            </w:r>
          </w:p>
        </w:tc>
      </w:tr>
      <w:tr>
        <w:tc>
          <w:tcPr>
            <w:tcW w:type="dxa" w:w="2600"/>
            <w:shd w:fill="E1F5EE" w:val="clear"/>
            <w:tcMar>
              <w:top w:type="dxa" w:w="100"/>
              <w:left w:type="dxa" w:w="150"/>
              <w:bottom w:type="dxa" w:w="100"/>
              <w:right w:type="dxa" w:w="150"/>
            </w:tcMar>
          </w:tcPr>
          <w:p>
            <w:r>
              <w:rPr>
                <w:b/>
                <w:bCs/>
                <w:color w:val="085041"/>
                <w:sz w:val="21"/>
                <w:szCs w:val="21"/>
              </w:rPr>
              <w:t xml:space="preserve">Theme</w:t>
            </w:r>
          </w:p>
        </w:tc>
        <w:tc>
          <w:tcPr>
            <w:tcW w:type="dxa" w:w="6800"/>
            <w:tcMar>
              <w:top w:type="dxa" w:w="100"/>
              <w:left w:type="dxa" w:w="150"/>
              <w:bottom w:type="dxa" w:w="100"/>
              <w:right w:type="dxa" w:w="150"/>
            </w:tcMar>
          </w:tcPr>
          <w:p>
            <w:r>
              <w:rPr>
                <w:color w:val="222222"/>
                <w:sz w:val="21"/>
                <w:szCs w:val="21"/>
              </w:rPr>
              <w:t xml:space="preserve">Regulatory &amp; Statutory Compliance Automation for MSMEs</w:t>
            </w:r>
          </w:p>
        </w:tc>
      </w:tr>
    </w:tbl>
    <w:p>
      <w:pPr>
        <w:pStyle w:val="Heading1"/>
        <w:pBdr>
          <w:bottom w:val="single" w:color="1D9E75" w:sz="6" w:space="4"/>
        </w:pBdr>
        <w:spacing w:after="160" w:before="320"/>
      </w:pPr>
      <w:r>
        <w:rPr>
          <w:b/>
          <w:bCs/>
          <w:color w:val="222222"/>
          <w:sz w:val="26"/>
          <w:szCs w:val="26"/>
        </w:rPr>
        <w:t xml:space="preserve">2. Problem Statement</w:t>
      </w:r>
    </w:p>
    <w:p>
      <w:pPr>
        <w:spacing w:after="140" w:line="300"/>
      </w:pPr>
      <w:r>
        <w:rPr>
          <w:i w:val="false"/>
          <w:iCs w:val="false"/>
          <w:color w:val="222222"/>
          <w:sz w:val="22"/>
          <w:szCs w:val="22"/>
        </w:rPr>
        <w:t xml:space="preserve">MSMEs spend considerable time and resources complying with labour laws, taxation regulations, environmental norms, and statutory filings. Most business owners lack dedicated legal or compliance teams, forcing them to either navigate complex, fragmented regulatory requirements themselves or pay recurring fees to consultants and chartered accountants — both of which are costly, error-prone, and time-consuming, and frequently result in missed deadlines, penalties, or non-compliance.</w:t>
      </w:r>
    </w:p>
    <w:p>
      <w:pPr>
        <w:pStyle w:val="Heading1"/>
        <w:pBdr>
          <w:bottom w:val="single" w:color="1D9E75" w:sz="6" w:space="4"/>
        </w:pBdr>
        <w:spacing w:after="160" w:before="320"/>
      </w:pPr>
      <w:r>
        <w:rPr>
          <w:b/>
          <w:bCs/>
          <w:color w:val="222222"/>
          <w:sz w:val="26"/>
          <w:szCs w:val="26"/>
        </w:rPr>
        <w:t xml:space="preserve">3. Expected Solution</w:t>
      </w:r>
    </w:p>
    <w:p>
      <w:pPr>
        <w:spacing w:after="140" w:line="300"/>
      </w:pPr>
      <w:r>
        <w:rPr>
          <w:i w:val="false"/>
          <w:iCs w:val="false"/>
          <w:color w:val="222222"/>
          <w:sz w:val="22"/>
          <w:szCs w:val="22"/>
        </w:rPr>
        <w:t xml:space="preserve">Develop an AI assistant that automatically tracks compliance obligations, prepares documentation, generates reminders, and assists with regulatory submissions.</w:t>
      </w:r>
    </w:p>
    <w:p>
      <w:pPr>
        <w:pStyle w:val="Heading2"/>
        <w:spacing w:after="100" w:before="220"/>
      </w:pPr>
      <w:r>
        <w:rPr>
          <w:b/>
          <w:bCs/>
          <w:color w:val="1D9E75"/>
          <w:sz w:val="22"/>
          <w:szCs w:val="22"/>
        </w:rPr>
        <w:t xml:space="preserve">Suggested approach (as specified)</w:t>
      </w:r>
    </w:p>
    <w:p>
      <w:pPr>
        <w:pStyle w:val="ListParagraph"/>
        <w:numPr>
          <w:ilvl w:val="0"/>
          <w:numId w:val="2"/>
        </w:numPr>
        <w:spacing w:after="80" w:line="290"/>
      </w:pPr>
      <w:r>
        <w:rPr>
          <w:color w:val="222222"/>
          <w:sz w:val="22"/>
          <w:szCs w:val="22"/>
        </w:rPr>
        <w:t xml:space="preserve">A compliance copilot built using large language models (LLMs)</w:t>
      </w:r>
    </w:p>
    <w:p>
      <w:pPr>
        <w:pStyle w:val="ListParagraph"/>
        <w:numPr>
          <w:ilvl w:val="0"/>
          <w:numId w:val="2"/>
        </w:numPr>
        <w:spacing w:after="80" w:line="290"/>
      </w:pPr>
      <w:r>
        <w:rPr>
          <w:color w:val="222222"/>
          <w:sz w:val="22"/>
          <w:szCs w:val="22"/>
        </w:rPr>
        <w:t xml:space="preserve">Workflow automation for document preparation and submission assistance</w:t>
      </w:r>
    </w:p>
    <w:p>
      <w:pPr>
        <w:pStyle w:val="ListParagraph"/>
        <w:numPr>
          <w:ilvl w:val="0"/>
          <w:numId w:val="2"/>
        </w:numPr>
        <w:spacing w:after="80" w:line="290"/>
      </w:pPr>
      <w:r>
        <w:rPr>
          <w:color w:val="222222"/>
          <w:sz w:val="22"/>
          <w:szCs w:val="22"/>
        </w:rPr>
        <w:t xml:space="preserve">A regulatory knowledge graph to model applicable laws and obligations</w:t>
      </w:r>
    </w:p>
    <w:p>
      <w:pPr>
        <w:pStyle w:val="Heading1"/>
        <w:pBdr>
          <w:bottom w:val="single" w:color="1D9E75" w:sz="6" w:space="4"/>
        </w:pBdr>
        <w:spacing w:after="160" w:before="320"/>
      </w:pPr>
      <w:r>
        <w:rPr>
          <w:b/>
          <w:bCs/>
          <w:color w:val="222222"/>
          <w:sz w:val="26"/>
          <w:szCs w:val="26"/>
        </w:rPr>
        <w:t xml:space="preserve">4. Our Proposed Solution</w:t>
      </w:r>
    </w:p>
    <w:p>
      <w:pPr>
        <w:spacing w:after="140" w:line="300"/>
      </w:pPr>
      <w:r>
        <w:rPr>
          <w:i w:val="false"/>
          <w:iCs w:val="false"/>
          <w:color w:val="222222"/>
          <w:sz w:val="22"/>
          <w:szCs w:val="22"/>
        </w:rPr>
        <w:t xml:space="preserve">We propose a Compliance Digital Twin — a living, per-business virtual representation of an MSME’s entire regulatory state (registrations, employees, licenses, obligations, filings, and risks), continuously synced against a self-updating regulatory knowledge graph. Unlike a static reminder tool, the system predicts obligations before they arise, accepts everyday voice input in the owner’s own language, and grounds every recommendation in a citable legal source — turning compliance from a reactive chore into a proactive, trustworthy copilot.</w:t>
      </w:r>
    </w:p>
    <w:p>
      <w:pPr>
        <w:pStyle w:val="Heading2"/>
        <w:spacing w:after="100" w:before="220"/>
      </w:pPr>
      <w:r>
        <w:rPr>
          <w:b/>
          <w:bCs/>
          <w:color w:val="1D9E75"/>
          <w:sz w:val="22"/>
          <w:szCs w:val="22"/>
        </w:rPr>
        <w:t xml:space="preserve">4.1 Core differentiators</w:t>
      </w:r>
    </w:p>
    <w:p>
      <w:pPr>
        <w:pStyle w:val="ListParagraph"/>
        <w:numPr>
          <w:ilvl w:val="0"/>
          <w:numId w:val="2"/>
        </w:numPr>
        <w:spacing w:after="80" w:line="290"/>
      </w:pPr>
      <w:r>
        <w:rPr>
          <w:color w:val="222222"/>
          <w:sz w:val="22"/>
          <w:szCs w:val="22"/>
        </w:rPr>
        <w:t xml:space="preserve">Compliance Digital Twin: a live, queryable model of business → registrations → employees → licenses → obligations → filings → risks, so the system always knows a business’s exact regulatory standing, not just its next deadline.</w:t>
      </w:r>
    </w:p>
    <w:p>
      <w:pPr>
        <w:pStyle w:val="ListParagraph"/>
        <w:numPr>
          <w:ilvl w:val="0"/>
          <w:numId w:val="2"/>
        </w:numPr>
        <w:spacing w:after="80" w:line="290"/>
      </w:pPr>
      <w:r>
        <w:rPr>
          <w:color w:val="222222"/>
          <w:sz w:val="22"/>
          <w:szCs w:val="22"/>
        </w:rPr>
        <w:t xml:space="preserve">Predictive compliance: forecasts upcoming obligations from growth signals (e.g. hiring trends approaching the ESI/PF threshold) instead of only reminding about deadlines already set.</w:t>
      </w:r>
    </w:p>
    <w:p>
      <w:pPr>
        <w:pStyle w:val="ListParagraph"/>
        <w:numPr>
          <w:ilvl w:val="0"/>
          <w:numId w:val="2"/>
        </w:numPr>
        <w:spacing w:after="80" w:line="290"/>
      </w:pPr>
      <w:r>
        <w:rPr>
          <w:color w:val="222222"/>
          <w:sz w:val="22"/>
          <w:szCs w:val="22"/>
        </w:rPr>
        <w:t xml:space="preserve">Voice + vernacular input: business owners describe events in a WhatsApp voice note in their own language (e.g. Tamil or Hindi); speech is converted to structured updates that automatically refresh the digital twin.</w:t>
      </w:r>
    </w:p>
    <w:p>
      <w:pPr>
        <w:pStyle w:val="ListParagraph"/>
        <w:numPr>
          <w:ilvl w:val="0"/>
          <w:numId w:val="2"/>
        </w:numPr>
        <w:spacing w:after="80" w:line="290"/>
      </w:pPr>
      <w:r>
        <w:rPr>
          <w:color w:val="222222"/>
          <w:sz w:val="22"/>
          <w:szCs w:val="22"/>
        </w:rPr>
        <w:t xml:space="preserve">Regulation-change watchdog agent: continuously monitors gazette notifications and government circulars, and proactively flags exactly which registered MSMEs are affected by a new rule — most compliance tools are static; almost none do this.</w:t>
      </w:r>
    </w:p>
    <w:p>
      <w:pPr>
        <w:pStyle w:val="ListParagraph"/>
        <w:numPr>
          <w:ilvl w:val="0"/>
          <w:numId w:val="2"/>
        </w:numPr>
        <w:spacing w:after="80" w:line="290"/>
      </w:pPr>
      <w:r>
        <w:rPr>
          <w:color w:val="222222"/>
          <w:sz w:val="22"/>
          <w:szCs w:val="22"/>
        </w:rPr>
        <w:t xml:space="preserve">Explainable, cited recommendations: every AI-generated recommendation is grounded via RAG in the exact section of the bare act or circular it is based on, addressing hallucination risk directly rather than asking users to trust the model.</w:t>
      </w:r>
    </w:p>
    <w:p>
      <w:pPr>
        <w:pStyle w:val="ListParagraph"/>
        <w:numPr>
          <w:ilvl w:val="0"/>
          <w:numId w:val="2"/>
        </w:numPr>
        <w:spacing w:after="80" w:line="290"/>
      </w:pPr>
      <w:r>
        <w:rPr>
          <w:color w:val="222222"/>
          <w:sz w:val="22"/>
          <w:szCs w:val="22"/>
        </w:rPr>
        <w:t xml:space="preserve">Human-in-the-loop submission: AI prepares and validates filings, but a human or CA reviewer approves before anything is submitted to a government portal — keeping the system safe and legally sound.</w:t>
      </w:r>
    </w:p>
    <w:p>
      <w:pPr>
        <w:pStyle w:val="Heading2"/>
        <w:spacing w:after="100" w:before="220"/>
      </w:pPr>
      <w:r>
        <w:rPr>
          <w:b/>
          <w:bCs/>
          <w:color w:val="1D9E75"/>
          <w:sz w:val="22"/>
          <w:szCs w:val="22"/>
        </w:rPr>
        <w:t xml:space="preserve">4.2 Architecture description</w:t>
      </w:r>
    </w:p>
    <w:p>
      <w:pPr>
        <w:spacing w:after="140" w:line="300"/>
      </w:pPr>
      <w:r>
        <w:rPr>
          <w:i w:val="false"/>
          <w:iCs w:val="false"/>
          <w:color w:val="222222"/>
          <w:sz w:val="22"/>
          <w:szCs w:val="22"/>
        </w:rPr>
        <w:t xml:space="preserve">The architecture is organised into layers that mirror the flow of information from input through to a verified, submitted filing: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shd w:fill="1D9E75" w:val="clear"/>
            <w:tcMar>
              <w:top w:type="dxa" w:w="90"/>
              <w:left w:type="dxa" w:w="120"/>
              <w:bottom w:type="dxa" w:w="90"/>
              <w:right w:type="dxa" w:w="120"/>
            </w:tcMar>
          </w:tcPr>
          <w:p>
            <w:r>
              <w:rPr>
                <w:b/>
                <w:bCs/>
                <w:color w:val="FFFFFF"/>
                <w:sz w:val="20"/>
                <w:szCs w:val="20"/>
              </w:rPr>
              <w:t xml:space="preserve">Layer</w:t>
            </w:r>
          </w:p>
        </w:tc>
        <w:tc>
          <w:tcPr>
            <w:tcW w:type="dxa" w:w="3200"/>
            <w:shd w:fill="1D9E75" w:val="clear"/>
            <w:tcMar>
              <w:top w:type="dxa" w:w="90"/>
              <w:left w:type="dxa" w:w="120"/>
              <w:bottom w:type="dxa" w:w="90"/>
              <w:right w:type="dxa" w:w="120"/>
            </w:tcMar>
          </w:tcPr>
          <w:p>
            <w:r>
              <w:rPr>
                <w:b/>
                <w:bCs/>
                <w:color w:val="FFFFFF"/>
                <w:sz w:val="20"/>
                <w:szCs w:val="20"/>
              </w:rPr>
              <w:t xml:space="preserve">Components</w:t>
            </w:r>
          </w:p>
        </w:tc>
        <w:tc>
          <w:tcPr>
            <w:tcW w:type="dxa" w:w="4000"/>
            <w:shd w:fill="1D9E75" w:val="clear"/>
            <w:tcMar>
              <w:top w:type="dxa" w:w="90"/>
              <w:left w:type="dxa" w:w="120"/>
              <w:bottom w:type="dxa" w:w="90"/>
              <w:right w:type="dxa" w:w="120"/>
            </w:tcMar>
          </w:tcPr>
          <w:p>
            <w:r>
              <w:rPr>
                <w:b/>
                <w:bCs/>
                <w:color w:val="FFFFFF"/>
                <w:sz w:val="20"/>
                <w:szCs w:val="20"/>
              </w:rPr>
              <w:t xml:space="preserve">What it does</w:t>
            </w:r>
          </w:p>
        </w:tc>
      </w:tr>
      <w:tr>
        <w:tc>
          <w:tcPr>
            <w:tcW w:type="dxa" w:w="2200"/>
            <w:tcMar>
              <w:top w:type="dxa" w:w="90"/>
              <w:left w:type="dxa" w:w="120"/>
              <w:bottom w:type="dxa" w:w="90"/>
              <w:right w:type="dxa" w:w="120"/>
            </w:tcMar>
          </w:tcPr>
          <w:p>
            <w:r>
              <w:rPr>
                <w:b/>
                <w:bCs/>
                <w:color w:val="222222"/>
                <w:sz w:val="20"/>
                <w:szCs w:val="20"/>
              </w:rPr>
              <w:t xml:space="preserve">Entry layer</w:t>
            </w:r>
          </w:p>
        </w:tc>
        <w:tc>
          <w:tcPr>
            <w:tcW w:type="dxa" w:w="3200"/>
            <w:tcMar>
              <w:top w:type="dxa" w:w="90"/>
              <w:left w:type="dxa" w:w="120"/>
              <w:bottom w:type="dxa" w:w="90"/>
              <w:right w:type="dxa" w:w="120"/>
            </w:tcMar>
          </w:tcPr>
          <w:p>
            <w:r>
              <w:rPr>
                <w:color w:val="222222"/>
                <w:sz w:val="20"/>
                <w:szCs w:val="20"/>
              </w:rPr>
              <w:t xml:space="preserve">Web/mobile app · WhatsApp voice bot · Watchdog agent</w:t>
            </w:r>
          </w:p>
        </w:tc>
        <w:tc>
          <w:tcPr>
            <w:tcW w:type="dxa" w:w="4000"/>
            <w:tcMar>
              <w:top w:type="dxa" w:w="90"/>
              <w:left w:type="dxa" w:w="120"/>
              <w:bottom w:type="dxa" w:w="90"/>
              <w:right w:type="dxa" w:w="120"/>
            </w:tcMar>
          </w:tcPr>
          <w:p>
            <w:r>
              <w:rPr>
                <w:color w:val="5F5E5A"/>
                <w:sz w:val="20"/>
                <w:szCs w:val="20"/>
              </w:rPr>
              <w:t xml:space="preserve">Two user-driven channels plus one system-driven channel that runs independently, watching government sources for changes.</w:t>
            </w:r>
          </w:p>
        </w:tc>
      </w:tr>
      <w:tr>
        <w:tc>
          <w:tcPr>
            <w:tcW w:type="dxa" w:w="2200"/>
            <w:tcMar>
              <w:top w:type="dxa" w:w="90"/>
              <w:left w:type="dxa" w:w="120"/>
              <w:bottom w:type="dxa" w:w="90"/>
              <w:right w:type="dxa" w:w="120"/>
            </w:tcMar>
          </w:tcPr>
          <w:p>
            <w:r>
              <w:rPr>
                <w:b/>
                <w:bCs/>
                <w:color w:val="222222"/>
                <w:sz w:val="20"/>
                <w:szCs w:val="20"/>
              </w:rPr>
              <w:t xml:space="preserve">Orchestration</w:t>
            </w:r>
          </w:p>
        </w:tc>
        <w:tc>
          <w:tcPr>
            <w:tcW w:type="dxa" w:w="3200"/>
            <w:tcMar>
              <w:top w:type="dxa" w:w="90"/>
              <w:left w:type="dxa" w:w="120"/>
              <w:bottom w:type="dxa" w:w="90"/>
              <w:right w:type="dxa" w:w="120"/>
            </w:tcMar>
          </w:tcPr>
          <w:p>
            <w:r>
              <w:rPr>
                <w:color w:val="222222"/>
                <w:sz w:val="20"/>
                <w:szCs w:val="20"/>
              </w:rPr>
              <w:t xml:space="preserve">Compliance orchestrator</w:t>
            </w:r>
          </w:p>
        </w:tc>
        <w:tc>
          <w:tcPr>
            <w:tcW w:type="dxa" w:w="4000"/>
            <w:tcMar>
              <w:top w:type="dxa" w:w="90"/>
              <w:left w:type="dxa" w:w="120"/>
              <w:bottom w:type="dxa" w:w="90"/>
              <w:right w:type="dxa" w:w="120"/>
            </w:tcMar>
          </w:tcPr>
          <w:p>
            <w:r>
              <w:rPr>
                <w:color w:val="5F5E5A"/>
                <w:sz w:val="20"/>
                <w:szCs w:val="20"/>
              </w:rPr>
              <w:t xml:space="preserve">Central router that directs every request — human or system-generated — to the right engine.</w:t>
            </w:r>
          </w:p>
        </w:tc>
      </w:tr>
      <w:tr>
        <w:tc>
          <w:tcPr>
            <w:tcW w:type="dxa" w:w="2200"/>
            <w:tcMar>
              <w:top w:type="dxa" w:w="90"/>
              <w:left w:type="dxa" w:w="120"/>
              <w:bottom w:type="dxa" w:w="90"/>
              <w:right w:type="dxa" w:w="120"/>
            </w:tcMar>
          </w:tcPr>
          <w:p>
            <w:r>
              <w:rPr>
                <w:b/>
                <w:bCs/>
                <w:color w:val="222222"/>
                <w:sz w:val="20"/>
                <w:szCs w:val="20"/>
              </w:rPr>
              <w:t xml:space="preserve">Core data layer</w:t>
            </w:r>
          </w:p>
        </w:tc>
        <w:tc>
          <w:tcPr>
            <w:tcW w:type="dxa" w:w="3200"/>
            <w:tcMar>
              <w:top w:type="dxa" w:w="90"/>
              <w:left w:type="dxa" w:w="120"/>
              <w:bottom w:type="dxa" w:w="90"/>
              <w:right w:type="dxa" w:w="120"/>
            </w:tcMar>
          </w:tcPr>
          <w:p>
            <w:r>
              <w:rPr>
                <w:color w:val="222222"/>
                <w:sz w:val="20"/>
                <w:szCs w:val="20"/>
              </w:rPr>
              <w:t xml:space="preserve">Rules engine · Digital twin store · Regulatory knowledge graph + RAG</w:t>
            </w:r>
          </w:p>
        </w:tc>
        <w:tc>
          <w:tcPr>
            <w:tcW w:type="dxa" w:w="4000"/>
            <w:tcMar>
              <w:top w:type="dxa" w:w="90"/>
              <w:left w:type="dxa" w:w="120"/>
              <w:bottom w:type="dxa" w:w="90"/>
              <w:right w:type="dxa" w:w="120"/>
            </w:tcMar>
          </w:tcPr>
          <w:p>
            <w:r>
              <w:rPr>
                <w:color w:val="5F5E5A"/>
                <w:sz w:val="20"/>
                <w:szCs w:val="20"/>
              </w:rPr>
              <w:t xml:space="preserve">The regulatory “truth” (knowledge graph), each business’s live state (digital twin), and the logic that evaluates one against the other (rules engine).</w:t>
            </w:r>
          </w:p>
        </w:tc>
      </w:tr>
      <w:tr>
        <w:tc>
          <w:tcPr>
            <w:tcW w:type="dxa" w:w="2200"/>
            <w:tcMar>
              <w:top w:type="dxa" w:w="90"/>
              <w:left w:type="dxa" w:w="120"/>
              <w:bottom w:type="dxa" w:w="90"/>
              <w:right w:type="dxa" w:w="120"/>
            </w:tcMar>
          </w:tcPr>
          <w:p>
            <w:r>
              <w:rPr>
                <w:b/>
                <w:bCs/>
                <w:color w:val="222222"/>
                <w:sz w:val="20"/>
                <w:szCs w:val="20"/>
              </w:rPr>
              <w:t xml:space="preserve">AI reasoning</w:t>
            </w:r>
          </w:p>
        </w:tc>
        <w:tc>
          <w:tcPr>
            <w:tcW w:type="dxa" w:w="3200"/>
            <w:tcMar>
              <w:top w:type="dxa" w:w="90"/>
              <w:left w:type="dxa" w:w="120"/>
              <w:bottom w:type="dxa" w:w="90"/>
              <w:right w:type="dxa" w:w="120"/>
            </w:tcMar>
          </w:tcPr>
          <w:p>
            <w:r>
              <w:rPr>
                <w:color w:val="222222"/>
                <w:sz w:val="20"/>
                <w:szCs w:val="20"/>
              </w:rPr>
              <w:t xml:space="preserve">LLM reasoning layer + guardrails</w:t>
            </w:r>
          </w:p>
        </w:tc>
        <w:tc>
          <w:tcPr>
            <w:tcW w:type="dxa" w:w="4000"/>
            <w:tcMar>
              <w:top w:type="dxa" w:w="90"/>
              <w:left w:type="dxa" w:w="120"/>
              <w:bottom w:type="dxa" w:w="90"/>
              <w:right w:type="dxa" w:w="120"/>
            </w:tcMar>
          </w:tcPr>
          <w:p>
            <w:r>
              <w:rPr>
                <w:color w:val="5F5E5A"/>
                <w:sz w:val="20"/>
                <w:szCs w:val="20"/>
              </w:rPr>
              <w:t xml:space="preserve">Generates recommendations and answers, paired with a retrieved citation, within safety and accuracy guardrails.</w:t>
            </w:r>
          </w:p>
        </w:tc>
      </w:tr>
      <w:tr>
        <w:tc>
          <w:tcPr>
            <w:tcW w:type="dxa" w:w="2200"/>
            <w:tcMar>
              <w:top w:type="dxa" w:w="90"/>
              <w:left w:type="dxa" w:w="120"/>
              <w:bottom w:type="dxa" w:w="90"/>
              <w:right w:type="dxa" w:w="120"/>
            </w:tcMar>
          </w:tcPr>
          <w:p>
            <w:r>
              <w:rPr>
                <w:b/>
                <w:bCs/>
                <w:color w:val="222222"/>
                <w:sz w:val="20"/>
                <w:szCs w:val="20"/>
              </w:rPr>
              <w:t xml:space="preserve">Action layer</w:t>
            </w:r>
          </w:p>
        </w:tc>
        <w:tc>
          <w:tcPr>
            <w:tcW w:type="dxa" w:w="3200"/>
            <w:tcMar>
              <w:top w:type="dxa" w:w="90"/>
              <w:left w:type="dxa" w:w="120"/>
              <w:bottom w:type="dxa" w:w="90"/>
              <w:right w:type="dxa" w:w="120"/>
            </w:tcMar>
          </w:tcPr>
          <w:p>
            <w:r>
              <w:rPr>
                <w:color w:val="222222"/>
                <w:sz w:val="20"/>
                <w:szCs w:val="20"/>
              </w:rPr>
              <w:t xml:space="preserve">Document AI extraction · Workflow automation · Calendar &amp; reminders</w:t>
            </w:r>
          </w:p>
        </w:tc>
        <w:tc>
          <w:tcPr>
            <w:tcW w:type="dxa" w:w="4000"/>
            <w:tcMar>
              <w:top w:type="dxa" w:w="90"/>
              <w:left w:type="dxa" w:w="120"/>
              <w:bottom w:type="dxa" w:w="90"/>
              <w:right w:type="dxa" w:w="120"/>
            </w:tcMar>
          </w:tcPr>
          <w:p>
            <w:r>
              <w:rPr>
                <w:color w:val="5F5E5A"/>
                <w:sz w:val="20"/>
                <w:szCs w:val="20"/>
              </w:rPr>
              <w:t xml:space="preserve">Turns AI output into concrete work: extracted filing data, prepared submissions, and scheduled alerts.</w:t>
            </w:r>
          </w:p>
        </w:tc>
      </w:tr>
      <w:tr>
        <w:tc>
          <w:tcPr>
            <w:tcW w:type="dxa" w:w="2200"/>
            <w:tcMar>
              <w:top w:type="dxa" w:w="90"/>
              <w:left w:type="dxa" w:w="120"/>
              <w:bottom w:type="dxa" w:w="90"/>
              <w:right w:type="dxa" w:w="120"/>
            </w:tcMar>
          </w:tcPr>
          <w:p>
            <w:r>
              <w:rPr>
                <w:b/>
                <w:bCs/>
                <w:color w:val="222222"/>
                <w:sz w:val="20"/>
                <w:szCs w:val="20"/>
              </w:rPr>
              <w:t xml:space="preserve">Assurance layer</w:t>
            </w:r>
          </w:p>
        </w:tc>
        <w:tc>
          <w:tcPr>
            <w:tcW w:type="dxa" w:w="3200"/>
            <w:tcMar>
              <w:top w:type="dxa" w:w="90"/>
              <w:left w:type="dxa" w:w="120"/>
              <w:bottom w:type="dxa" w:w="90"/>
              <w:right w:type="dxa" w:w="120"/>
            </w:tcMar>
          </w:tcPr>
          <w:p>
            <w:r>
              <w:rPr>
                <w:color w:val="222222"/>
                <w:sz w:val="20"/>
                <w:szCs w:val="20"/>
              </w:rPr>
              <w:t xml:space="preserve">Validation &amp; risk engine · Human/CA approval</w:t>
            </w:r>
          </w:p>
        </w:tc>
        <w:tc>
          <w:tcPr>
            <w:tcW w:type="dxa" w:w="4000"/>
            <w:tcMar>
              <w:top w:type="dxa" w:w="90"/>
              <w:left w:type="dxa" w:w="120"/>
              <w:bottom w:type="dxa" w:w="90"/>
              <w:right w:type="dxa" w:w="120"/>
            </w:tcMar>
          </w:tcPr>
          <w:p>
            <w:r>
              <w:rPr>
                <w:color w:val="5F5E5A"/>
                <w:sz w:val="20"/>
                <w:szCs w:val="20"/>
              </w:rPr>
              <w:t xml:space="preserve">Flags risk (green/yellow/red), and requires human sign-off before anything is submitted.</w:t>
            </w:r>
          </w:p>
        </w:tc>
      </w:tr>
      <w:tr>
        <w:tc>
          <w:tcPr>
            <w:tcW w:type="dxa" w:w="2200"/>
            <w:tcMar>
              <w:top w:type="dxa" w:w="90"/>
              <w:left w:type="dxa" w:w="120"/>
              <w:bottom w:type="dxa" w:w="90"/>
              <w:right w:type="dxa" w:w="120"/>
            </w:tcMar>
          </w:tcPr>
          <w:p>
            <w:r>
              <w:rPr>
                <w:b/>
                <w:bCs/>
                <w:color w:val="222222"/>
                <w:sz w:val="20"/>
                <w:szCs w:val="20"/>
              </w:rPr>
              <w:t xml:space="preserve">Closure</w:t>
            </w:r>
          </w:p>
        </w:tc>
        <w:tc>
          <w:tcPr>
            <w:tcW w:type="dxa" w:w="3200"/>
            <w:tcMar>
              <w:top w:type="dxa" w:w="90"/>
              <w:left w:type="dxa" w:w="120"/>
              <w:bottom w:type="dxa" w:w="90"/>
              <w:right w:type="dxa" w:w="120"/>
            </w:tcMar>
          </w:tcPr>
          <w:p>
            <w:r>
              <w:rPr>
                <w:color w:val="222222"/>
                <w:sz w:val="20"/>
                <w:szCs w:val="20"/>
              </w:rPr>
              <w:t xml:space="preserve">Submission support + audit trail</w:t>
            </w:r>
          </w:p>
        </w:tc>
        <w:tc>
          <w:tcPr>
            <w:tcW w:type="dxa" w:w="4000"/>
            <w:tcMar>
              <w:top w:type="dxa" w:w="90"/>
              <w:left w:type="dxa" w:w="120"/>
              <w:bottom w:type="dxa" w:w="90"/>
              <w:right w:type="dxa" w:w="120"/>
            </w:tcMar>
          </w:tcPr>
          <w:p>
            <w:r>
              <w:rPr>
                <w:color w:val="5F5E5A"/>
                <w:sz w:val="20"/>
                <w:szCs w:val="20"/>
              </w:rPr>
              <w:t xml:space="preserve">Assists with the regulatory submission and logs the receipt back into the digital twin’s history.</w:t>
            </w:r>
          </w:p>
        </w:tc>
      </w:tr>
    </w:tbl>
    <w:p>
      <w:pPr>
        <w:pStyle w:val="Heading2"/>
        <w:spacing w:after="100" w:before="220"/>
      </w:pPr>
      <w:r>
        <w:rPr>
          <w:b/>
          <w:bCs/>
          <w:color w:val="1D9E75"/>
          <w:sz w:val="22"/>
          <w:szCs w:val="22"/>
        </w:rPr>
        <w:t xml:space="preserve">4.3 Why this satisfies the expected solution</w:t>
      </w:r>
    </w:p>
    <w:p>
      <w:pPr>
        <w:spacing w:after="140" w:line="300"/>
      </w:pPr>
      <w:r>
        <w:rPr>
          <w:i w:val="false"/>
          <w:iCs w:val="false"/>
          <w:color w:val="222222"/>
          <w:sz w:val="22"/>
          <w:szCs w:val="22"/>
        </w:rPr>
        <w:t xml:space="preserve">The proposed system delivers everything the problem statement asks for — an LLM-driven copilot, workflow automation, and a regulatory knowledge graph — while the digital twin, predictive forecasting, voice input, watchdog agent, and citation-grounded explainability extend it into a system that is proactive rather than reactive, accessible to non-English-first business owners, and defensible against the hallucination concerns any AI system touching legal compliance must answer.</w:t>
      </w:r>
    </w:p>
    <w:p>
      <w:pPr>
        <w:pBdr>
          <w:top w:val="single" w:color="D3D1C7" w:sz="4" w:space="8"/>
        </w:pBdr>
        <w:spacing w:before="300"/>
      </w:pPr>
    </w:p>
    <w:p>
      <w:pPr>
        <w:spacing w:before="160"/>
      </w:pPr>
      <w:r>
        <w:rPr>
          <w:i/>
          <w:iCs/>
          <w:color w:val="5F5E5A"/>
          <w:sz w:val="18"/>
          <w:szCs w:val="18"/>
        </w:rPr>
        <w:t xml:space="preserve">Prepared for Smart India Hackathon 2026 — Round 1 submission.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2026-08-18T11:59:53.799Z</dcterms:created>
  <dcterms:modified xsi:type="dcterms:W3CDTF">2026-08-18T11:59:53.813Z</dcterms:modified>
</cp:coreProperties>
</file>

<file path=docProps/custom.xml><?xml version="1.0" encoding="utf-8"?>
<Properties xmlns="http://schemas.openxmlformats.org/officeDocument/2006/custom-properties" xmlns:vt="http://schemas.openxmlformats.org/officeDocument/2006/docPropsVTypes"/>
</file>